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 (Web)"/>
        <w:rPr>
          <w:rFonts w:ascii="Calibri" w:cs="Calibri" w:hAnsi="Calibri" w:eastAsia="Calibri"/>
          <w:outline w:val="0"/>
          <w:color w:val="000000"/>
          <w:u w:color="000000"/>
          <w:lang w:val="en-US"/>
          <w14:textFill>
            <w14:solidFill>
              <w14:srgbClr w14:val="000000"/>
            </w14:solidFill>
          </w14:textFill>
        </w:rPr>
      </w:pPr>
      <w:r>
        <w:rPr>
          <w:rFonts w:ascii="Calibri" w:hAnsi="Calibri"/>
          <w:rtl w:val="0"/>
          <w:lang w:val="en-US"/>
        </w:rPr>
        <w:t>#articleTitle</w:t>
      </w:r>
    </w:p>
    <w:p>
      <w:pPr>
        <w:pStyle w:val="Normal.0"/>
        <w:spacing w:after="120" w:line="240" w:lineRule="auto"/>
        <w:ind w:firstLine="720"/>
        <w:jc w:val="center"/>
        <w:rPr>
          <w:b w:val="1"/>
          <w:bCs w:val="1"/>
          <w:sz w:val="36"/>
          <w:szCs w:val="36"/>
        </w:rPr>
      </w:pPr>
      <w:r>
        <w:rPr>
          <w:b w:val="1"/>
          <w:bCs w:val="1"/>
          <w:sz w:val="36"/>
          <w:szCs w:val="36"/>
          <w:rtl w:val="0"/>
          <w:lang w:val="en-US"/>
        </w:rPr>
        <w:t xml:space="preserve">Stele </w:t>
      </w:r>
      <w:r>
        <w:rPr>
          <w:b w:val="1"/>
          <w:bCs w:val="1"/>
          <w:sz w:val="36"/>
          <w:szCs w:val="36"/>
          <w:u w:val="single"/>
          <w:rtl w:val="0"/>
          <w:lang w:val="en-US"/>
        </w:rPr>
        <w:t>in</w:t>
      </w:r>
      <w:r>
        <w:rPr>
          <w:b w:val="1"/>
          <w:bCs w:val="1"/>
          <w:sz w:val="36"/>
          <w:szCs w:val="36"/>
          <w:rtl w:val="0"/>
          <w:lang w:val="en-US"/>
        </w:rPr>
        <w:t xml:space="preserve"> Shifo Monastery</w:t>
      </w:r>
      <w:r>
        <w:rPr>
          <w:rFonts w:ascii="PMingLiU" w:cs="PMingLiU" w:hAnsi="PMingLiU" w:eastAsia="PMingLiU"/>
          <w:b w:val="1"/>
          <w:bCs w:val="1"/>
          <w:sz w:val="36"/>
          <w:szCs w:val="36"/>
          <w:rtl w:val="0"/>
          <w:lang w:val="zh-TW" w:eastAsia="zh-TW"/>
        </w:rPr>
        <w:t>石佛寺</w:t>
      </w:r>
    </w:p>
    <w:p>
      <w:pPr>
        <w:pStyle w:val="Normal.0"/>
        <w:spacing w:after="120" w:line="240" w:lineRule="auto"/>
        <w:ind w:firstLine="720"/>
        <w:jc w:val="center"/>
        <w:rPr>
          <w:sz w:val="36"/>
          <w:szCs w:val="36"/>
        </w:rPr>
      </w:pPr>
    </w:p>
    <w:p>
      <w:pPr>
        <w:pStyle w:val="Normal.0"/>
        <w:spacing w:after="120" w:line="240" w:lineRule="auto"/>
        <w:ind w:firstLine="720"/>
        <w:rPr>
          <w:sz w:val="36"/>
          <w:szCs w:val="36"/>
          <w:lang w:val="en-US"/>
        </w:rPr>
      </w:pPr>
      <w:r>
        <w:rPr>
          <w:sz w:val="36"/>
          <w:szCs w:val="36"/>
          <w:rtl w:val="0"/>
          <w:lang w:val="en-US"/>
        </w:rPr>
        <w:t xml:space="preserve">The stele in Shifo Monastery </w:t>
      </w:r>
      <w:r>
        <w:rPr>
          <w:rFonts w:ascii="PMingLiU" w:cs="PMingLiU" w:hAnsi="PMingLiU" w:eastAsia="PMingLiU"/>
          <w:sz w:val="36"/>
          <w:szCs w:val="36"/>
          <w:rtl w:val="0"/>
          <w:lang w:val="zh-TW" w:eastAsia="zh-TW"/>
        </w:rPr>
        <w:t>石佛寺</w:t>
      </w:r>
      <w:r>
        <w:rPr>
          <w:sz w:val="36"/>
          <w:szCs w:val="36"/>
          <w:rtl w:val="0"/>
          <w:lang w:val="en-US"/>
        </w:rPr>
        <w:t>is outstanding in several respects. It is one of only five steles with engraved sutra passages in Shandong, whose stone is completely preserved;</w:t>
      </w:r>
      <w:r>
        <w:rPr>
          <w:sz w:val="36"/>
          <w:szCs w:val="36"/>
          <w:vertAlign w:val="superscript"/>
          <w:lang w:val="en-US"/>
        </w:rPr>
        <w:footnoteReference w:id="1"/>
      </w:r>
      <w:r>
        <w:rPr>
          <w:sz w:val="36"/>
          <w:szCs w:val="36"/>
          <w:rtl w:val="0"/>
          <w:lang w:val="en-US"/>
        </w:rPr>
        <w:t xml:space="preserve"> the sutra is not found engraved elsewhere in Shandong; its text is written in an unusual archaizing calligraphy; it has a precise date: 564; on it are listed more than two hundred individuals by name and rank; and three additional colophons document the stele</w:t>
      </w:r>
      <w:r>
        <w:rPr>
          <w:sz w:val="36"/>
          <w:szCs w:val="36"/>
          <w:rtl w:val="0"/>
          <w:lang w:val="en-US"/>
        </w:rPr>
        <w:t>’</w:t>
      </w:r>
      <w:r>
        <w:rPr>
          <w:sz w:val="36"/>
          <w:szCs w:val="36"/>
          <w:rtl w:val="0"/>
          <w:lang w:val="en-US"/>
        </w:rPr>
        <w:t>s subsequent history from 1209 to 1497.</w:t>
      </w:r>
    </w:p>
    <w:p>
      <w:pPr>
        <w:pStyle w:val="Normal.0"/>
      </w:pPr>
      <w:r>
        <w:rPr>
          <w:sz w:val="36"/>
          <w:szCs w:val="36"/>
          <w:rtl w:val="0"/>
          <w:lang w:val="de-DE"/>
        </w:rPr>
        <w:t>#articleHeader</w:t>
      </w:r>
    </w:p>
    <w:p>
      <w:pPr>
        <w:pStyle w:val="Normal.0"/>
        <w:rPr>
          <w:outline w:val="0"/>
          <w:color w:val="ffc000"/>
          <w:sz w:val="48"/>
          <w:szCs w:val="48"/>
          <w:u w:color="ffc000"/>
          <w14:textFill>
            <w14:solidFill>
              <w14:srgbClr w14:val="FFC000"/>
            </w14:solidFill>
          </w14:textFill>
        </w:rPr>
      </w:pPr>
      <w:r>
        <w:rPr>
          <w:outline w:val="0"/>
          <w:color w:val="ffc000"/>
          <w:sz w:val="48"/>
          <w:szCs w:val="48"/>
          <w:u w:color="ffc000"/>
          <w:rtl w:val="0"/>
          <w:lang w:val="en-US"/>
          <w14:textFill>
            <w14:solidFill>
              <w14:srgbClr w14:val="FFC000"/>
            </w14:solidFill>
          </w14:textFill>
        </w:rPr>
        <w:t>The Monastery</w:t>
      </w:r>
    </w:p>
    <w:p>
      <w:pPr>
        <w:pStyle w:val="Normal.0"/>
        <w:spacing w:after="120" w:line="240" w:lineRule="auto"/>
        <w:ind w:firstLine="720"/>
        <w:rPr>
          <w:outline w:val="0"/>
          <w:color w:val="ffc000"/>
          <w:sz w:val="48"/>
          <w:szCs w:val="48"/>
          <w:u w:color="ffc000"/>
          <w14:textFill>
            <w14:solidFill>
              <w14:srgbClr w14:val="FFC000"/>
            </w14:solidFill>
          </w14:textFill>
        </w:rPr>
      </w:pPr>
    </w:p>
    <w:p>
      <w:pPr>
        <w:pStyle w:val="Normal.0"/>
        <w:spacing w:after="120" w:line="240" w:lineRule="auto"/>
        <w:ind w:firstLine="720"/>
        <w:rPr>
          <w:sz w:val="36"/>
          <w:szCs w:val="36"/>
        </w:rPr>
      </w:pPr>
      <w:bookmarkStart w:name="_Hlk85695965" w:id="0"/>
      <w:r>
        <w:rPr>
          <w:sz w:val="36"/>
          <w:szCs w:val="36"/>
        </w:rPr>
        <w:drawing xmlns:a="http://schemas.openxmlformats.org/drawingml/2006/main">
          <wp:inline distT="0" distB="0" distL="0" distR="0">
            <wp:extent cx="5309261" cy="3528812"/>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5309261" cy="3528812"/>
                    </a:xfrm>
                    <a:prstGeom prst="rect">
                      <a:avLst/>
                    </a:prstGeom>
                    <a:ln w="12700" cap="flat">
                      <a:noFill/>
                      <a:miter lim="400000"/>
                    </a:ln>
                    <a:effectLst/>
                  </pic:spPr>
                </pic:pic>
              </a:graphicData>
            </a:graphic>
          </wp:inline>
        </w:drawing>
      </w:r>
    </w:p>
    <w:p>
      <w:pPr>
        <w:pStyle w:val="Normal.0"/>
        <w:widowControl w:val="1"/>
        <w:spacing w:after="0" w:line="240" w:lineRule="auto"/>
        <w:rPr>
          <w:rFonts w:ascii="SimSun" w:cs="SimSun" w:hAnsi="SimSun" w:eastAsia="SimSun"/>
          <w:outline w:val="0"/>
          <w:color w:val="000000"/>
          <w:sz w:val="24"/>
          <w:szCs w:val="24"/>
          <w:u w:color="000000"/>
          <w:lang w:val="de-DE"/>
          <w14:textFill>
            <w14:solidFill>
              <w14:srgbClr w14:val="000000"/>
            </w14:solidFill>
          </w14:textFill>
        </w:rPr>
      </w:pPr>
    </w:p>
    <w:tbl>
      <w:tblPr>
        <w:tblW w:w="550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5509"/>
      </w:tblGrid>
      <w:tr>
        <w:tblPrEx>
          <w:shd w:val="clear" w:color="auto" w:fill="cdd4e9"/>
        </w:tblPrEx>
        <w:trPr>
          <w:trHeight w:val="436" w:hRule="atLeast"/>
        </w:trPr>
        <w:tc>
          <w:tcPr>
            <w:tcW w:type="dxa" w:w="5509"/>
            <w:tcBorders>
              <w:top w:val="nil"/>
              <w:left w:val="nil"/>
              <w:bottom w:val="nil"/>
              <w:right w:val="nil"/>
            </w:tcBorders>
            <w:shd w:val="clear" w:color="auto" w:fill="auto"/>
            <w:tcMar>
              <w:top w:type="dxa" w:w="80"/>
              <w:left w:type="dxa" w:w="80"/>
              <w:bottom w:type="dxa" w:w="80"/>
              <w:right w:type="dxa" w:w="80"/>
            </w:tcMar>
            <w:vAlign w:val="top"/>
          </w:tcPr>
          <w:p>
            <w:pPr>
              <w:pStyle w:val="Normal.0"/>
              <w:widowControl w:val="1"/>
              <w:spacing w:after="0" w:line="240" w:lineRule="auto"/>
              <w:rPr>
                <w:rFonts w:ascii="SimSun" w:cs="SimSun" w:hAnsi="SimSun" w:eastAsia="SimSun"/>
                <w:outline w:val="0"/>
                <w:color w:val="8b6f39"/>
                <w:sz w:val="20"/>
                <w:szCs w:val="20"/>
                <w:u w:color="8b6f39"/>
                <w:shd w:val="nil" w:color="auto" w:fill="auto"/>
                <w14:textFill>
                  <w14:solidFill>
                    <w14:srgbClr w14:val="8B6F39"/>
                  </w14:solidFill>
                </w14:textFill>
              </w:rPr>
            </w:pPr>
            <w:r>
              <w:rPr>
                <w:rFonts w:ascii="SimSun" w:hAnsi="SimSun"/>
                <w:outline w:val="0"/>
                <w:color w:val="8b6f39"/>
                <w:sz w:val="20"/>
                <w:szCs w:val="20"/>
                <w:u w:color="8b6f39"/>
                <w:shd w:val="nil" w:color="auto" w:fill="auto"/>
                <w:rtl w:val="0"/>
                <w:lang w:val="de-DE"/>
                <w14:textFill>
                  <w14:solidFill>
                    <w14:srgbClr w14:val="8B6F39"/>
                  </w14:solidFill>
                </w14:textFill>
              </w:rPr>
              <w:t xml:space="preserve">(Fig 15) </w:t>
            </w:r>
            <w:r>
              <w:rPr>
                <w:rFonts w:eastAsia="SimSun" w:hint="eastAsia"/>
                <w:outline w:val="0"/>
                <w:color w:val="8b6f39"/>
                <w:sz w:val="20"/>
                <w:szCs w:val="20"/>
                <w:u w:color="8b6f39"/>
                <w:shd w:val="nil" w:color="auto" w:fill="auto"/>
                <w:rtl w:val="0"/>
                <w:lang w:val="zh-TW" w:eastAsia="zh-TW"/>
                <w14:textFill>
                  <w14:solidFill>
                    <w14:srgbClr w14:val="8B6F39"/>
                  </w14:solidFill>
                </w14:textFill>
              </w:rPr>
              <w:t>巨野石佛寺址</w:t>
            </w:r>
            <w:r>
              <w:rPr>
                <w:rFonts w:eastAsia="SimSun" w:hint="eastAsia"/>
                <w:outline w:val="0"/>
                <w:color w:val="8b6f39"/>
                <w:sz w:val="20"/>
                <w:szCs w:val="20"/>
                <w:u w:val="single" w:color="8b6f39"/>
                <w:shd w:val="nil" w:color="auto" w:fill="auto"/>
                <w:rtl w:val="0"/>
                <w:lang w:val="zh-TW" w:eastAsia="zh-TW"/>
                <w14:textFill>
                  <w14:solidFill>
                    <w14:srgbClr w14:val="8B6F39"/>
                  </w14:solidFill>
                </w14:textFill>
              </w:rPr>
              <w:t>；</w:t>
            </w:r>
            <w:r>
              <w:rPr>
                <w:rFonts w:ascii="SimSun" w:hAnsi="SimSun"/>
                <w:outline w:val="0"/>
                <w:color w:val="8b6f39"/>
                <w:sz w:val="20"/>
                <w:szCs w:val="20"/>
                <w:u w:color="8b6f39"/>
                <w:shd w:val="nil" w:color="auto" w:fill="auto"/>
                <w:rtl w:val="0"/>
                <w:lang w:val="de-DE"/>
                <w14:textFill>
                  <w14:solidFill>
                    <w14:srgbClr w14:val="8B6F39"/>
                  </w14:solidFill>
                </w14:textFill>
              </w:rPr>
              <w:t xml:space="preserve"> 2007</w:t>
            </w:r>
            <w:r>
              <w:rPr>
                <w:rFonts w:eastAsia="SimSun" w:hint="eastAsia"/>
                <w:outline w:val="0"/>
                <w:color w:val="8b6f39"/>
                <w:sz w:val="20"/>
                <w:szCs w:val="20"/>
                <w:u w:color="8b6f39"/>
                <w:shd w:val="nil" w:color="auto" w:fill="auto"/>
                <w:rtl w:val="0"/>
                <w:lang w:val="zh-TW" w:eastAsia="zh-TW"/>
                <w14:textFill>
                  <w14:solidFill>
                    <w14:srgbClr w14:val="8B6F39"/>
                  </w14:solidFill>
                </w14:textFill>
              </w:rPr>
              <w:t>年拍攝</w:t>
            </w:r>
          </w:p>
          <w:p>
            <w:pPr>
              <w:pStyle w:val="Normal.0"/>
              <w:widowControl w:val="1"/>
              <w:bidi w:val="0"/>
              <w:spacing w:after="0" w:line="240" w:lineRule="auto"/>
              <w:ind w:left="0" w:right="0" w:firstLine="0"/>
              <w:jc w:val="left"/>
              <w:rPr>
                <w:rtl w:val="0"/>
              </w:rPr>
            </w:pPr>
            <w:r>
              <w:rPr>
                <w:outline w:val="0"/>
                <w:color w:val="8b6f39"/>
                <w:sz w:val="20"/>
                <w:szCs w:val="20"/>
                <w:u w:color="8b6f39"/>
                <w:shd w:val="nil" w:color="auto" w:fill="auto"/>
                <w:rtl w:val="0"/>
                <w:lang w:val="de-DE"/>
                <w14:textFill>
                  <w14:solidFill>
                    <w14:srgbClr w14:val="8B6F39"/>
                  </w14:solidFill>
                </w14:textFill>
              </w:rPr>
              <w:t>Ground of the former Shifo Monastery; photograph taken in 2007</w:t>
            </w:r>
          </w:p>
        </w:tc>
      </w:tr>
    </w:tbl>
    <w:p>
      <w:pPr>
        <w:pStyle w:val="Normal.0"/>
        <w:spacing w:after="0" w:line="240" w:lineRule="auto"/>
        <w:rPr>
          <w:rFonts w:ascii="SimSun" w:cs="SimSun" w:hAnsi="SimSun" w:eastAsia="SimSun"/>
          <w:outline w:val="0"/>
          <w:color w:val="000000"/>
          <w:sz w:val="24"/>
          <w:szCs w:val="24"/>
          <w:u w:color="000000"/>
          <w:lang w:val="de-DE"/>
          <w14:textFill>
            <w14:solidFill>
              <w14:srgbClr w14:val="000000"/>
            </w14:solidFill>
          </w14:textFill>
        </w:rPr>
      </w:pPr>
    </w:p>
    <w:p>
      <w:pPr>
        <w:pStyle w:val="Normal.0"/>
        <w:spacing w:after="120" w:line="240" w:lineRule="auto"/>
        <w:ind w:firstLine="720"/>
        <w:rPr>
          <w:sz w:val="36"/>
          <w:szCs w:val="36"/>
        </w:rPr>
      </w:pPr>
    </w:p>
    <w:p>
      <w:pPr>
        <w:pStyle w:val="Normal.0"/>
        <w:spacing w:after="120" w:line="240" w:lineRule="auto"/>
        <w:ind w:firstLine="720"/>
        <w:rPr>
          <w:sz w:val="36"/>
          <w:szCs w:val="36"/>
        </w:rPr>
      </w:pPr>
      <w:r>
        <w:rPr>
          <w:sz w:val="36"/>
          <w:szCs w:val="36"/>
          <w:rtl w:val="0"/>
          <w:lang w:val="en-US"/>
        </w:rPr>
        <w:t xml:space="preserve">The monastery is located in Xiao Xuying Village </w:t>
      </w:r>
      <w:r>
        <w:rPr>
          <w:rFonts w:ascii="PMingLiU" w:cs="PMingLiU" w:hAnsi="PMingLiU" w:eastAsia="PMingLiU"/>
          <w:sz w:val="36"/>
          <w:szCs w:val="36"/>
          <w:rtl w:val="0"/>
          <w:lang w:val="zh-TW" w:eastAsia="zh-TW"/>
        </w:rPr>
        <w:t>小徐營村</w:t>
      </w:r>
      <w:r>
        <w:rPr>
          <w:sz w:val="36"/>
          <w:szCs w:val="36"/>
          <w:rtl w:val="0"/>
          <w:lang w:val="en-US"/>
        </w:rPr>
        <w:t>at Dayi Town</w:t>
      </w:r>
      <w:r>
        <w:rPr>
          <w:rFonts w:ascii="PMingLiU" w:cs="PMingLiU" w:hAnsi="PMingLiU" w:eastAsia="PMingLiU"/>
          <w:sz w:val="36"/>
          <w:szCs w:val="36"/>
          <w:rtl w:val="0"/>
          <w:lang w:val="zh-TW" w:eastAsia="zh-TW"/>
        </w:rPr>
        <w:t>大義鎮</w:t>
      </w:r>
      <w:r>
        <w:rPr>
          <w:sz w:val="36"/>
          <w:szCs w:val="36"/>
          <w:rtl w:val="0"/>
          <w:lang w:val="en-US"/>
        </w:rPr>
        <w:t>, Juye County</w:t>
      </w:r>
      <w:r>
        <w:rPr>
          <w:rFonts w:ascii="PMingLiU" w:cs="PMingLiU" w:hAnsi="PMingLiU" w:eastAsia="PMingLiU"/>
          <w:sz w:val="36"/>
          <w:szCs w:val="36"/>
          <w:rtl w:val="0"/>
          <w:lang w:val="zh-TW" w:eastAsia="zh-TW"/>
        </w:rPr>
        <w:t>巨野縣</w:t>
      </w:r>
      <w:r>
        <w:rPr>
          <w:sz w:val="36"/>
          <w:szCs w:val="36"/>
          <w:rtl w:val="0"/>
          <w:lang w:val="en-US"/>
        </w:rPr>
        <w:t xml:space="preserve">, at a distance of 13 km south of the County seat Juye. It is the westernmost of all sites with engraved sutras in Shandong. The monastery is first mentioned in a </w:t>
      </w:r>
      <w:r>
        <w:rPr>
          <w:i w:val="1"/>
          <w:iCs w:val="1"/>
          <w:sz w:val="36"/>
          <w:szCs w:val="36"/>
          <w:rtl w:val="0"/>
          <w:lang w:val="en-US"/>
        </w:rPr>
        <w:t>Gazetteer of Juye County</w:t>
      </w:r>
      <w:r>
        <w:rPr>
          <w:sz w:val="36"/>
          <w:szCs w:val="36"/>
          <w:rtl w:val="0"/>
          <w:lang w:val="en-US"/>
        </w:rPr>
        <w:t xml:space="preserve"> of 1582,</w:t>
      </w:r>
      <w:r>
        <w:rPr>
          <w:sz w:val="36"/>
          <w:szCs w:val="36"/>
          <w:vertAlign w:val="superscript"/>
          <w:lang w:val="en-US"/>
        </w:rPr>
        <w:footnoteReference w:id="2"/>
      </w:r>
      <w:r>
        <w:rPr>
          <w:sz w:val="36"/>
          <w:szCs w:val="36"/>
          <w:rtl w:val="0"/>
          <w:lang w:val="en-US"/>
        </w:rPr>
        <w:t xml:space="preserve"> but only in a gazetteer of 1846 do we find more information about it. There we learn that a certain abbot Chongxi</w:t>
      </w:r>
      <w:r>
        <w:rPr>
          <w:rFonts w:ascii="PMingLiU" w:cs="PMingLiU" w:hAnsi="PMingLiU" w:eastAsia="PMingLiU"/>
          <w:sz w:val="36"/>
          <w:szCs w:val="36"/>
          <w:rtl w:val="0"/>
          <w:lang w:val="zh-TW" w:eastAsia="zh-TW"/>
        </w:rPr>
        <w:t>崇禧</w:t>
      </w:r>
      <w:r>
        <w:rPr>
          <w:sz w:val="36"/>
          <w:szCs w:val="36"/>
          <w:rtl w:val="0"/>
          <w:lang w:val="en-US"/>
        </w:rPr>
        <w:t xml:space="preserve"> rebuilt the compound between 1458 and 1460. At the time the stele of 564 was kept in the monastery and the gazetteer describes it in detail. The gazetter further quotes from a </w:t>
      </w:r>
      <w:r>
        <w:rPr>
          <w:i w:val="1"/>
          <w:iCs w:val="1"/>
          <w:sz w:val="36"/>
          <w:szCs w:val="36"/>
          <w:rtl w:val="0"/>
          <w:lang w:val="en-US"/>
        </w:rPr>
        <w:t>Stele Recording the Restoration of the Shifo Meditation Monastery</w:t>
      </w:r>
      <w:r>
        <w:rPr>
          <w:rFonts w:ascii="PMingLiU" w:cs="PMingLiU" w:hAnsi="PMingLiU" w:eastAsia="PMingLiU"/>
          <w:sz w:val="36"/>
          <w:szCs w:val="36"/>
          <w:rtl w:val="0"/>
          <w:lang w:val="zh-TW" w:eastAsia="zh-TW"/>
        </w:rPr>
        <w:t>重修石佛禪寺碑記</w:t>
      </w:r>
      <w:r>
        <w:rPr>
          <w:sz w:val="36"/>
          <w:szCs w:val="36"/>
          <w:rtl w:val="0"/>
          <w:lang w:val="en-US"/>
        </w:rPr>
        <w:t xml:space="preserve"> composed in 1549 by a certain Bestowed Regular Metropolitan Graduate [of 1544], Secretary in the Ministry of Revenue </w:t>
      </w:r>
      <w:r>
        <w:rPr>
          <w:rFonts w:ascii="PMingLiU" w:cs="PMingLiU" w:hAnsi="PMingLiU" w:eastAsia="PMingLiU"/>
          <w:sz w:val="36"/>
          <w:szCs w:val="36"/>
          <w:rtl w:val="0"/>
          <w:lang w:val="zh-TW" w:eastAsia="zh-TW"/>
        </w:rPr>
        <w:t>賜進士出身戸部主事</w:t>
      </w:r>
      <w:r>
        <w:rPr>
          <w:sz w:val="36"/>
          <w:szCs w:val="36"/>
          <w:rtl w:val="0"/>
          <w:lang w:val="en-US"/>
        </w:rPr>
        <w:t xml:space="preserve"> Yu Jin </w:t>
      </w:r>
      <w:r>
        <w:rPr>
          <w:rFonts w:ascii="PMingLiU" w:cs="PMingLiU" w:hAnsi="PMingLiU" w:eastAsia="PMingLiU"/>
          <w:sz w:val="36"/>
          <w:szCs w:val="36"/>
          <w:rtl w:val="0"/>
          <w:lang w:val="zh-TW" w:eastAsia="zh-TW"/>
        </w:rPr>
        <w:t>于錦</w:t>
      </w:r>
      <w:r>
        <w:rPr>
          <w:sz w:val="36"/>
          <w:szCs w:val="36"/>
          <w:rtl w:val="0"/>
          <w:lang w:val="en-US"/>
        </w:rPr>
        <w:t xml:space="preserve">, who says that the monastery was restored from 1532 to 1549 under the leadership of the community elder </w:t>
      </w:r>
      <w:r>
        <w:rPr>
          <w:rFonts w:ascii="PMingLiU" w:cs="PMingLiU" w:hAnsi="PMingLiU" w:eastAsia="PMingLiU"/>
          <w:sz w:val="36"/>
          <w:szCs w:val="36"/>
          <w:rtl w:val="0"/>
          <w:lang w:val="zh-TW" w:eastAsia="zh-TW"/>
        </w:rPr>
        <w:t>邑老</w:t>
      </w:r>
      <w:r>
        <w:rPr>
          <w:sz w:val="36"/>
          <w:szCs w:val="36"/>
          <w:rtl w:val="0"/>
          <w:lang w:val="en-US"/>
        </w:rPr>
        <w:t xml:space="preserve"> Wang Pin </w:t>
      </w:r>
      <w:r>
        <w:rPr>
          <w:rFonts w:ascii="PMingLiU" w:cs="PMingLiU" w:hAnsi="PMingLiU" w:eastAsia="PMingLiU"/>
          <w:sz w:val="36"/>
          <w:szCs w:val="36"/>
          <w:rtl w:val="0"/>
          <w:lang w:val="zh-TW" w:eastAsia="zh-TW"/>
        </w:rPr>
        <w:t>王彬</w:t>
      </w:r>
      <w:r>
        <w:rPr>
          <w:sz w:val="36"/>
          <w:szCs w:val="36"/>
          <w:rtl w:val="0"/>
          <w:lang w:val="en-US"/>
        </w:rPr>
        <w:t xml:space="preserve"> with the economic support of the donor Mr. Sui </w:t>
      </w:r>
      <w:r>
        <w:rPr>
          <w:rFonts w:ascii="PMingLiU" w:cs="PMingLiU" w:hAnsi="PMingLiU" w:eastAsia="PMingLiU"/>
          <w:sz w:val="36"/>
          <w:szCs w:val="36"/>
          <w:rtl w:val="0"/>
          <w:lang w:val="zh-TW" w:eastAsia="zh-TW"/>
        </w:rPr>
        <w:t>隋子</w:t>
      </w:r>
      <w:r>
        <w:rPr>
          <w:sz w:val="36"/>
          <w:szCs w:val="36"/>
          <w:rtl w:val="0"/>
          <w:lang w:val="en-US"/>
        </w:rPr>
        <w:t>.</w:t>
      </w:r>
      <w:r>
        <w:rPr>
          <w:sz w:val="36"/>
          <w:szCs w:val="36"/>
          <w:vertAlign w:val="superscript"/>
          <w:lang w:val="en-US"/>
        </w:rPr>
        <w:footnoteReference w:id="3"/>
      </w:r>
      <w:r>
        <w:rPr>
          <w:sz w:val="36"/>
          <w:szCs w:val="36"/>
          <w:rtl w:val="0"/>
          <w:lang w:val="en-US"/>
        </w:rPr>
        <w:t xml:space="preserve"> The colophon added to the stele in 1497 is also a testimony of the monastery</w:t>
      </w:r>
      <w:r>
        <w:rPr>
          <w:sz w:val="36"/>
          <w:szCs w:val="36"/>
          <w:rtl w:val="0"/>
          <w:lang w:val="en-US"/>
        </w:rPr>
        <w:t>’</w:t>
      </w:r>
      <w:r>
        <w:rPr>
          <w:sz w:val="36"/>
          <w:szCs w:val="36"/>
          <w:rtl w:val="0"/>
          <w:lang w:val="en-US"/>
        </w:rPr>
        <w:t xml:space="preserve">s activities in the Ming dynasty. </w:t>
      </w:r>
      <w:bookmarkEnd w:id="0"/>
      <w:r>
        <w:rPr>
          <w:sz w:val="36"/>
          <w:szCs w:val="36"/>
          <w:rtl w:val="0"/>
          <w:lang w:val="en-US"/>
        </w:rPr>
        <w:t xml:space="preserve">Yet no ancient building and no inscription is seen at the site today (fig. 15, p. 63). In 1993 the stele was transferred to the Cultural Relics Bureau </w:t>
      </w:r>
      <w:r>
        <w:rPr>
          <w:rFonts w:ascii="PMingLiU" w:cs="PMingLiU" w:hAnsi="PMingLiU" w:eastAsia="PMingLiU"/>
          <w:sz w:val="36"/>
          <w:szCs w:val="36"/>
          <w:rtl w:val="0"/>
          <w:lang w:val="zh-TW" w:eastAsia="zh-TW"/>
        </w:rPr>
        <w:t>文物管理所</w:t>
      </w:r>
      <w:r>
        <w:rPr>
          <w:sz w:val="36"/>
          <w:szCs w:val="36"/>
          <w:rtl w:val="0"/>
          <w:lang w:val="en-US"/>
        </w:rPr>
        <w:t>of Juye County.</w:t>
      </w:r>
      <w:r>
        <w:rPr>
          <w:sz w:val="36"/>
          <w:szCs w:val="36"/>
          <w:vertAlign w:val="superscript"/>
          <w:lang w:val="en-US"/>
        </w:rPr>
        <w:footnoteReference w:id="4"/>
      </w:r>
    </w:p>
    <w:p>
      <w:pPr>
        <w:pStyle w:val="Normal.0"/>
      </w:pPr>
      <w:r>
        <w:rPr>
          <w:sz w:val="36"/>
          <w:szCs w:val="36"/>
          <w:rtl w:val="0"/>
          <w:lang w:val="de-DE"/>
        </w:rPr>
        <w:t>#articleHeader</w:t>
      </w:r>
    </w:p>
    <w:p>
      <w:pPr>
        <w:pStyle w:val="Normal.0"/>
        <w:rPr>
          <w:outline w:val="0"/>
          <w:color w:val="ffc000"/>
          <w:sz w:val="48"/>
          <w:szCs w:val="48"/>
          <w:u w:color="ffc000"/>
          <w14:textFill>
            <w14:solidFill>
              <w14:srgbClr w14:val="FFC000"/>
            </w14:solidFill>
          </w14:textFill>
        </w:rPr>
      </w:pPr>
      <w:r>
        <w:rPr>
          <w:outline w:val="0"/>
          <w:color w:val="ffc000"/>
          <w:sz w:val="48"/>
          <w:szCs w:val="48"/>
          <w:u w:color="ffc000"/>
          <w:rtl w:val="0"/>
          <w:lang w:val="en-US"/>
          <w14:textFill>
            <w14:solidFill>
              <w14:srgbClr w14:val="FFC000"/>
            </w14:solidFill>
          </w14:textFill>
        </w:rPr>
        <w:t>The Stele</w:t>
      </w:r>
    </w:p>
    <w:p>
      <w:pPr>
        <w:pStyle w:val="Normal.0"/>
        <w:spacing w:after="120" w:line="240" w:lineRule="auto"/>
        <w:ind w:firstLine="720"/>
        <w:rPr>
          <w:sz w:val="36"/>
          <w:szCs w:val="36"/>
        </w:rPr>
      </w:pPr>
      <w:bookmarkStart w:name="_Hlk137027632" w:id="1"/>
      <w:r>
        <w:rPr>
          <w:sz w:val="36"/>
          <w:szCs w:val="36"/>
          <w:rtl w:val="0"/>
          <w:lang w:val="en-US"/>
        </w:rPr>
        <w:t xml:space="preserve">The high rectangular body of the stele is surmounted by a head of half-circle shape, formed by pairs of intertwined dragons. The gazetteer of 1846 writes: </w:t>
      </w:r>
      <w:r>
        <w:rPr>
          <w:sz w:val="36"/>
          <w:szCs w:val="36"/>
          <w:rtl w:val="0"/>
          <w:lang w:val="en-US"/>
        </w:rPr>
        <w:t>“</w:t>
      </w:r>
      <w:r>
        <w:rPr>
          <w:sz w:val="36"/>
          <w:szCs w:val="36"/>
          <w:rtl w:val="0"/>
          <w:lang w:val="en-US"/>
        </w:rPr>
        <w:t>The head has curled dragons, but there are no dragons on a base decorated with with beetles, nor is there the scheme of tortoises [to support the stele]. It is bland and simple like Han dynasty steles.</w:t>
      </w:r>
      <w:r>
        <w:rPr>
          <w:rFonts w:ascii="Verdana" w:hAnsi="Verdana"/>
          <w:outline w:val="0"/>
          <w:color w:val="000000"/>
          <w:kern w:val="24"/>
          <w:sz w:val="36"/>
          <w:szCs w:val="36"/>
          <w:u w:color="000000"/>
          <w:rtl w:val="0"/>
          <w:lang w:val="en-US"/>
          <w14:textFill>
            <w14:solidFill>
              <w14:srgbClr w14:val="000000"/>
            </w14:solidFill>
          </w14:textFill>
        </w:rPr>
        <w:t xml:space="preserve"> </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蟠額</w:t>
      </w:r>
      <w:r>
        <w:rPr>
          <w:rFonts w:ascii="Verdana" w:hAnsi="Verdana"/>
          <w:outline w:val="0"/>
          <w:color w:val="000000"/>
          <w:kern w:val="24"/>
          <w:sz w:val="36"/>
          <w:szCs w:val="36"/>
          <w:u w:color="000000"/>
          <w:rtl w:val="0"/>
          <w:lang w:val="en-US"/>
          <w14:textFill>
            <w14:solidFill>
              <w14:srgbClr w14:val="000000"/>
            </w14:solidFill>
          </w14:textFill>
        </w:rPr>
        <w:t xml:space="preserve"> </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無螭坐蚨，無龜制度，渾樸與漢碑同</w:t>
      </w:r>
      <w:r>
        <w:rPr>
          <w:rFonts w:ascii="Verdana" w:hAnsi="Verdana"/>
          <w:outline w:val="0"/>
          <w:color w:val="000000"/>
          <w:kern w:val="24"/>
          <w:sz w:val="36"/>
          <w:szCs w:val="36"/>
          <w:u w:color="000000"/>
          <w:rtl w:val="0"/>
          <w:lang w:val="en-US"/>
          <w14:textFill>
            <w14:solidFill>
              <w14:srgbClr w14:val="000000"/>
            </w14:solidFill>
          </w14:textFill>
        </w:rPr>
        <w:t>.</w:t>
      </w:r>
      <w:r>
        <w:rPr>
          <w:rFonts w:ascii="DengXian" w:cs="DengXian" w:hAnsi="DengXian" w:eastAsia="DengXian"/>
          <w:outline w:val="0"/>
          <w:color w:val="000000"/>
          <w:kern w:val="24"/>
          <w:sz w:val="36"/>
          <w:szCs w:val="36"/>
          <w:u w:color="000000"/>
          <w:rtl w:val="0"/>
          <w:lang w:val="en-US"/>
          <w14:textFill>
            <w14:solidFill>
              <w14:srgbClr w14:val="000000"/>
            </w14:solidFill>
          </w14:textFill>
        </w:rPr>
        <w:t>”</w:t>
      </w:r>
      <w:r>
        <w:rPr>
          <w:sz w:val="36"/>
          <w:szCs w:val="36"/>
          <w:vertAlign w:val="superscript"/>
          <w:lang w:val="en-US"/>
        </w:rPr>
        <w:footnoteReference w:id="5"/>
      </w:r>
      <w:r>
        <w:rPr>
          <w:smallCaps w:val="1"/>
          <w:rtl w:val="0"/>
          <w:lang w:val="en-US"/>
        </w:rPr>
        <w:t xml:space="preserve"> </w:t>
      </w:r>
      <w:r>
        <w:rPr>
          <w:sz w:val="36"/>
          <w:szCs w:val="36"/>
          <w:rtl w:val="0"/>
          <w:lang w:val="en-US"/>
        </w:rPr>
        <w:t xml:space="preserve">The curled dragons in the head enclose on the front side a field with three figures sculptured in high relief. The frontal figure of Buddha </w:t>
      </w:r>
      <w:r>
        <w:rPr>
          <w:sz w:val="36"/>
          <w:szCs w:val="36"/>
          <w:rtl w:val="0"/>
          <w:lang w:val="en-US"/>
        </w:rPr>
        <w:t>Ś</w:t>
      </w:r>
      <w:r>
        <w:rPr>
          <w:sz w:val="36"/>
          <w:szCs w:val="36"/>
          <w:rtl w:val="0"/>
          <w:lang w:val="en-US"/>
        </w:rPr>
        <w:t xml:space="preserve">akyamuni in the middle is flanked by two bodhisattvas seen from the side; both raise a hand in which they hold a lotus flower. This standard configuration of three figures does not tally with the scene that is described in the carved sutra itself. There only one bodhisattva is mentioned, who </w:t>
      </w:r>
      <w:r>
        <w:rPr>
          <w:sz w:val="36"/>
          <w:szCs w:val="36"/>
          <w:rtl w:val="0"/>
          <w:lang w:val="en-US"/>
        </w:rPr>
        <w:t>“</w:t>
      </w:r>
      <w:r>
        <w:rPr>
          <w:sz w:val="36"/>
          <w:szCs w:val="36"/>
          <w:rtl w:val="0"/>
          <w:lang w:val="en-US"/>
        </w:rPr>
        <w:t>knelt upright, put his palms together, bowed in respect, and addressed the Buddha.</w:t>
      </w:r>
      <w:r>
        <w:rPr>
          <w:sz w:val="36"/>
          <w:szCs w:val="36"/>
          <w:rtl w:val="0"/>
          <w:lang w:val="en-US"/>
        </w:rPr>
        <w:t xml:space="preserve">” </w:t>
      </w:r>
      <w:r>
        <w:rPr>
          <w:sz w:val="36"/>
          <w:szCs w:val="36"/>
          <w:rtl w:val="0"/>
          <w:lang w:val="en-US"/>
        </w:rPr>
        <w:t>Obviously, the sculptors were loath to change, because of this sutra text, the well-known and frequently carved formula of three figures. It also gave the donors in the inscription on the stele</w:t>
      </w:r>
      <w:r>
        <w:rPr>
          <w:sz w:val="36"/>
          <w:szCs w:val="36"/>
          <w:rtl w:val="0"/>
          <w:lang w:val="en-US"/>
        </w:rPr>
        <w:t>’</w:t>
      </w:r>
      <w:r>
        <w:rPr>
          <w:sz w:val="36"/>
          <w:szCs w:val="36"/>
          <w:rtl w:val="0"/>
          <w:lang w:val="en-US"/>
        </w:rPr>
        <w:t>s back the opportunity to have each figure assigned to one of them.</w:t>
      </w:r>
      <w:bookmarkEnd w:id="1"/>
    </w:p>
    <w:p>
      <w:pPr>
        <w:pStyle w:val="Normal.0"/>
        <w:spacing w:after="120" w:line="240" w:lineRule="auto"/>
        <w:ind w:firstLine="720"/>
        <w:rPr>
          <w:sz w:val="36"/>
          <w:szCs w:val="36"/>
        </w:rPr>
      </w:pPr>
      <w:r>
        <w:rPr>
          <w:sz w:val="36"/>
          <w:szCs w:val="36"/>
        </w:rPr>
        <w:drawing xmlns:a="http://schemas.openxmlformats.org/drawingml/2006/main">
          <wp:inline distT="0" distB="0" distL="0" distR="0">
            <wp:extent cx="5756783" cy="3822755"/>
            <wp:effectExtent l="0" t="0" r="0" b="0"/>
            <wp:docPr id="1073741826" name="officeArt object" descr="Y:\stonesutras1\Images\Shandong_Band_5\st_JY-Stele_detail_DSC2544.jpg"/>
            <wp:cNvGraphicFramePr/>
            <a:graphic xmlns:a="http://schemas.openxmlformats.org/drawingml/2006/main">
              <a:graphicData uri="http://schemas.openxmlformats.org/drawingml/2006/picture">
                <pic:pic xmlns:pic="http://schemas.openxmlformats.org/drawingml/2006/picture">
                  <pic:nvPicPr>
                    <pic:cNvPr id="1073741826" name="Y:\stonesutras1\Images\Shandong_Band_5\st_JY-Stele_detail_DSC2544.jpg" descr="Y:\stonesutras1\Images\Shandong_Band_5\st_JY-Stele_detail_DSC2544.jpg"/>
                    <pic:cNvPicPr>
                      <a:picLocks noChangeAspect="1"/>
                    </pic:cNvPicPr>
                  </pic:nvPicPr>
                  <pic:blipFill>
                    <a:blip r:embed="rId5">
                      <a:extLst/>
                    </a:blip>
                    <a:stretch>
                      <a:fillRect/>
                    </a:stretch>
                  </pic:blipFill>
                  <pic:spPr>
                    <a:xfrm>
                      <a:off x="0" y="0"/>
                      <a:ext cx="5756783" cy="3822755"/>
                    </a:xfrm>
                    <a:prstGeom prst="rect">
                      <a:avLst/>
                    </a:prstGeom>
                    <a:ln w="12700" cap="flat">
                      <a:noFill/>
                      <a:miter lim="400000"/>
                    </a:ln>
                    <a:effectLst/>
                  </pic:spPr>
                </pic:pic>
              </a:graphicData>
            </a:graphic>
          </wp:inline>
        </w:drawing>
      </w:r>
    </w:p>
    <w:p>
      <w:pPr>
        <w:pStyle w:val="Normal.0"/>
        <w:spacing w:after="120" w:line="240" w:lineRule="auto"/>
        <w:ind w:firstLine="720"/>
      </w:pPr>
    </w:p>
    <w:p>
      <w:pPr>
        <w:pStyle w:val="Normal.0"/>
        <w:spacing w:after="120" w:line="240" w:lineRule="auto"/>
        <w:ind w:firstLine="720"/>
        <w:rPr>
          <w:outline w:val="0"/>
          <w:color w:val="538135"/>
          <w:sz w:val="28"/>
          <w:szCs w:val="28"/>
          <w:u w:color="538135"/>
          <w14:textFill>
            <w14:solidFill>
              <w14:srgbClr w14:val="538135"/>
            </w14:solidFill>
          </w14:textFill>
        </w:rPr>
      </w:pPr>
      <w:r>
        <w:rPr>
          <w:outline w:val="0"/>
          <w:color w:val="538135"/>
          <w:sz w:val="28"/>
          <w:szCs w:val="28"/>
          <w:u w:color="538135"/>
          <w:rtl w:val="0"/>
          <w:lang w:val="en-US"/>
          <w14:textFill>
            <w14:solidFill>
              <w14:srgbClr w14:val="538135"/>
            </w14:solidFill>
          </w14:textFill>
        </w:rPr>
        <w:t xml:space="preserve">Fig. yy. Head on the front side of the stele of 564. </w:t>
      </w:r>
    </w:p>
    <w:tbl>
      <w:tblPr>
        <w:tblW w:w="100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002"/>
      </w:tblGrid>
      <w:tr>
        <w:tblPrEx>
          <w:shd w:val="clear" w:color="auto" w:fill="cdd4e9"/>
        </w:tblPrEx>
        <w:trPr>
          <w:trHeight w:val="280" w:hRule="atLeast"/>
        </w:trPr>
        <w:tc>
          <w:tcPr>
            <w:tcW w:type="dxa" w:w="1002"/>
            <w:tcBorders>
              <w:top w:val="nil"/>
              <w:left w:val="nil"/>
              <w:bottom w:val="nil"/>
              <w:right w:val="nil"/>
            </w:tcBorders>
            <w:shd w:val="clear" w:color="auto" w:fill="auto"/>
            <w:tcMar>
              <w:top w:type="dxa" w:w="80"/>
              <w:left w:type="dxa" w:w="80"/>
              <w:bottom w:type="dxa" w:w="80"/>
              <w:right w:type="dxa" w:w="80"/>
            </w:tcMar>
            <w:vAlign w:val="top"/>
          </w:tcPr>
          <w:p/>
        </w:tc>
      </w:tr>
    </w:tbl>
    <w:p>
      <w:pPr>
        <w:pStyle w:val="Normal.0"/>
        <w:spacing w:after="120" w:line="240" w:lineRule="auto"/>
        <w:rPr>
          <w:outline w:val="0"/>
          <w:color w:val="538135"/>
          <w:sz w:val="28"/>
          <w:szCs w:val="28"/>
          <w:u w:color="538135"/>
          <w14:textFill>
            <w14:solidFill>
              <w14:srgbClr w14:val="538135"/>
            </w14:solidFill>
          </w14:textFill>
        </w:rPr>
      </w:pPr>
    </w:p>
    <w:p>
      <w:pPr>
        <w:pStyle w:val="Normal.0"/>
        <w:spacing w:after="120" w:line="240" w:lineRule="auto"/>
        <w:ind w:firstLine="720"/>
      </w:pPr>
      <w:r>
        <w:rPr>
          <w:rtl w:val="0"/>
          <w:lang w:val="en-US"/>
        </w:rPr>
        <w:t>Y:\stonesutras1\Images\Shandong\Juye\Juyexian_Museum\stele\stone</w:t>
      </w:r>
    </w:p>
    <w:p>
      <w:pPr>
        <w:pStyle w:val="Normal.0"/>
        <w:spacing w:after="120" w:line="240" w:lineRule="auto"/>
        <w:ind w:firstLine="720"/>
        <w:rPr>
          <w:sz w:val="36"/>
          <w:szCs w:val="36"/>
        </w:rPr>
      </w:pPr>
      <w:r>
        <w:rPr>
          <w:rtl w:val="0"/>
          <w:lang w:val="en-US"/>
        </w:rPr>
        <w:t>St_JY-Stele_detail_DSC2544.JPG</w:t>
      </w:r>
    </w:p>
    <w:p>
      <w:pPr>
        <w:pStyle w:val="Normal.0"/>
        <w:spacing w:after="120" w:line="240" w:lineRule="auto"/>
        <w:ind w:firstLine="720"/>
        <w:rPr>
          <w:sz w:val="36"/>
          <w:szCs w:val="36"/>
          <w:lang w:val="en-US"/>
        </w:rPr>
      </w:pPr>
      <w:r>
        <w:rPr>
          <w:sz w:val="36"/>
          <w:szCs w:val="36"/>
          <w:rtl w:val="0"/>
          <w:lang w:val="en-US"/>
        </w:rPr>
        <w:t xml:space="preserve">The field of script of the sutra has eight vertical columns with 25 characters each. Only beneath the last character of the last column, a last small additional character is added. The calligraphy is utterly remarkable. Duan Songling </w:t>
      </w:r>
      <w:r>
        <w:rPr>
          <w:rFonts w:ascii="PMingLiU" w:cs="PMingLiU" w:hAnsi="PMingLiU" w:eastAsia="PMingLiU"/>
          <w:sz w:val="36"/>
          <w:szCs w:val="36"/>
          <w:rtl w:val="0"/>
          <w:lang w:val="zh-TW" w:eastAsia="zh-TW"/>
        </w:rPr>
        <w:t>段松苓</w:t>
      </w:r>
      <w:r>
        <w:rPr>
          <w:sz w:val="36"/>
          <w:szCs w:val="36"/>
          <w:rtl w:val="0"/>
          <w:lang w:val="en-US"/>
        </w:rPr>
        <w:t xml:space="preserve"> (1745</w:t>
      </w:r>
      <w:r>
        <w:rPr>
          <w:sz w:val="36"/>
          <w:szCs w:val="36"/>
          <w:rtl w:val="0"/>
          <w:lang w:val="en-US"/>
        </w:rPr>
        <w:t>–</w:t>
      </w:r>
      <w:r>
        <w:rPr>
          <w:sz w:val="36"/>
          <w:szCs w:val="36"/>
          <w:rtl w:val="0"/>
          <w:lang w:val="en-US"/>
        </w:rPr>
        <w:t xml:space="preserve">1800), who in 1796 was the first epigrapher to describe the stele in his </w:t>
      </w:r>
      <w:r>
        <w:rPr>
          <w:i w:val="1"/>
          <w:iCs w:val="1"/>
          <w:sz w:val="36"/>
          <w:szCs w:val="36"/>
          <w:rtl w:val="0"/>
          <w:lang w:val="en-US"/>
        </w:rPr>
        <w:t>List of Steles in Shandong</w:t>
      </w:r>
      <w:r>
        <w:rPr>
          <w:sz w:val="36"/>
          <w:szCs w:val="36"/>
          <w:rtl w:val="0"/>
          <w:lang w:val="en-US"/>
        </w:rPr>
        <w:t>, classified it as clerical script (</w:t>
      </w:r>
      <w:r>
        <w:rPr>
          <w:i w:val="1"/>
          <w:iCs w:val="1"/>
          <w:sz w:val="36"/>
          <w:szCs w:val="36"/>
          <w:rtl w:val="0"/>
          <w:lang w:val="en-US"/>
        </w:rPr>
        <w:t>lishu</w:t>
      </w:r>
      <w:r>
        <w:rPr>
          <w:sz w:val="36"/>
          <w:szCs w:val="36"/>
          <w:rtl w:val="0"/>
          <w:lang w:val="en-US"/>
        </w:rPr>
        <w:t xml:space="preserve"> </w:t>
      </w:r>
      <w:r>
        <w:rPr>
          <w:rFonts w:ascii="PMingLiU" w:cs="PMingLiU" w:hAnsi="PMingLiU" w:eastAsia="PMingLiU"/>
          <w:sz w:val="36"/>
          <w:szCs w:val="36"/>
          <w:rtl w:val="0"/>
          <w:lang w:val="zh-TW" w:eastAsia="zh-TW"/>
        </w:rPr>
        <w:t>隸書</w:t>
      </w:r>
      <w:r>
        <w:rPr>
          <w:sz w:val="36"/>
          <w:szCs w:val="36"/>
          <w:rtl w:val="0"/>
          <w:lang w:val="en-US"/>
        </w:rPr>
        <w:t>),</w:t>
      </w:r>
      <w:r>
        <w:rPr>
          <w:sz w:val="36"/>
          <w:szCs w:val="36"/>
          <w:vertAlign w:val="superscript"/>
          <w:lang w:val="en-US"/>
        </w:rPr>
        <w:footnoteReference w:id="6"/>
      </w:r>
      <w:r>
        <w:rPr>
          <w:sz w:val="36"/>
          <w:szCs w:val="36"/>
          <w:rtl w:val="0"/>
          <w:lang w:val="en-US"/>
        </w:rPr>
        <w:t xml:space="preserve"> certainly because of the square proportions of the characters and the prominent diagonal strokes that are drawn out to the lower right. A year later, Ruan Yuan </w:t>
      </w:r>
      <w:r>
        <w:rPr>
          <w:rFonts w:ascii="PMingLiU" w:cs="PMingLiU" w:hAnsi="PMingLiU" w:eastAsia="PMingLiU"/>
          <w:sz w:val="36"/>
          <w:szCs w:val="36"/>
          <w:rtl w:val="0"/>
          <w:lang w:val="zh-TW" w:eastAsia="zh-TW"/>
        </w:rPr>
        <w:t>阮元</w:t>
      </w:r>
      <w:r>
        <w:rPr>
          <w:sz w:val="36"/>
          <w:szCs w:val="36"/>
          <w:rtl w:val="0"/>
          <w:lang w:val="en-US"/>
        </w:rPr>
        <w:t xml:space="preserve"> (1764</w:t>
      </w:r>
      <w:r>
        <w:rPr>
          <w:sz w:val="36"/>
          <w:szCs w:val="36"/>
          <w:rtl w:val="0"/>
          <w:lang w:val="en-US"/>
        </w:rPr>
        <w:t>–</w:t>
      </w:r>
      <w:r>
        <w:rPr>
          <w:sz w:val="36"/>
          <w:szCs w:val="36"/>
          <w:rtl w:val="0"/>
          <w:lang w:val="en-US"/>
        </w:rPr>
        <w:t xml:space="preserve">1849) called in his </w:t>
      </w:r>
      <w:r>
        <w:rPr>
          <w:i w:val="1"/>
          <w:iCs w:val="1"/>
          <w:sz w:val="36"/>
          <w:szCs w:val="36"/>
          <w:rtl w:val="0"/>
          <w:lang w:val="en-US"/>
        </w:rPr>
        <w:t>Epigraphic Records of Shandong</w:t>
      </w:r>
      <w:r>
        <w:rPr>
          <w:sz w:val="36"/>
          <w:szCs w:val="36"/>
          <w:rtl w:val="0"/>
          <w:lang w:val="en-US"/>
        </w:rPr>
        <w:t xml:space="preserve"> the sutra text symmetrical clerical script (</w:t>
      </w:r>
      <w:r>
        <w:rPr>
          <w:i w:val="1"/>
          <w:iCs w:val="1"/>
          <w:sz w:val="36"/>
          <w:szCs w:val="36"/>
          <w:rtl w:val="0"/>
          <w:lang w:val="en-US"/>
        </w:rPr>
        <w:t xml:space="preserve">bafen </w:t>
      </w:r>
      <w:r>
        <w:rPr>
          <w:rFonts w:ascii="PMingLiU" w:cs="PMingLiU" w:hAnsi="PMingLiU" w:eastAsia="PMingLiU"/>
          <w:sz w:val="36"/>
          <w:szCs w:val="36"/>
          <w:rtl w:val="0"/>
          <w:lang w:val="zh-TW" w:eastAsia="zh-TW"/>
        </w:rPr>
        <w:t>八分</w:t>
      </w:r>
      <w:r>
        <w:rPr>
          <w:sz w:val="36"/>
          <w:szCs w:val="36"/>
          <w:rtl w:val="0"/>
          <w:lang w:val="en-US"/>
        </w:rPr>
        <w:t>), and noted standard script (</w:t>
      </w:r>
      <w:r>
        <w:rPr>
          <w:rFonts w:ascii="PMingLiU" w:cs="PMingLiU" w:hAnsi="PMingLiU" w:eastAsia="PMingLiU"/>
          <w:sz w:val="36"/>
          <w:szCs w:val="36"/>
          <w:rtl w:val="0"/>
          <w:lang w:val="zh-TW" w:eastAsia="zh-TW"/>
        </w:rPr>
        <w:t>正書</w:t>
      </w:r>
      <w:r>
        <w:rPr>
          <w:i w:val="1"/>
          <w:iCs w:val="1"/>
          <w:sz w:val="36"/>
          <w:szCs w:val="36"/>
          <w:rtl w:val="0"/>
          <w:lang w:val="en-US"/>
        </w:rPr>
        <w:t xml:space="preserve"> zhengshu</w:t>
      </w:r>
      <w:r>
        <w:rPr>
          <w:sz w:val="36"/>
          <w:szCs w:val="36"/>
          <w:rtl w:val="0"/>
          <w:lang w:val="en-US"/>
        </w:rPr>
        <w:t>) on its sides.</w:t>
      </w:r>
      <w:r>
        <w:rPr>
          <w:sz w:val="36"/>
          <w:szCs w:val="36"/>
          <w:vertAlign w:val="superscript"/>
          <w:lang w:val="en-US"/>
        </w:rPr>
        <w:footnoteReference w:id="7"/>
      </w:r>
      <w:r>
        <w:rPr>
          <w:sz w:val="36"/>
          <w:szCs w:val="36"/>
          <w:rtl w:val="0"/>
          <w:lang w:val="en-US"/>
        </w:rPr>
        <w:t xml:space="preserve"> Since then all authors adopted this terminology when describing the calligraphy. A more detailed description tries the gazetteer of 1846: </w:t>
      </w:r>
    </w:p>
    <w:p>
      <w:pPr>
        <w:pStyle w:val="Normal.0"/>
        <w:spacing w:after="120" w:line="240" w:lineRule="auto"/>
        <w:ind w:firstLine="720"/>
        <w:rPr>
          <w:sz w:val="36"/>
          <w:szCs w:val="36"/>
        </w:rPr>
      </w:pPr>
      <w:r>
        <w:rPr>
          <w:sz w:val="36"/>
          <w:szCs w:val="36"/>
          <w:rtl w:val="0"/>
          <w:lang w:val="de-DE"/>
        </w:rPr>
        <w:t>#blockQuote</w:t>
      </w:r>
    </w:p>
    <w:p>
      <w:pPr>
        <w:pStyle w:val="Normal.0"/>
        <w:spacing w:after="120" w:line="240" w:lineRule="auto"/>
        <w:ind w:left="720" w:firstLine="0"/>
        <w:rPr>
          <w:outline w:val="0"/>
          <w:color w:val="000000"/>
          <w:kern w:val="24"/>
          <w:sz w:val="36"/>
          <w:szCs w:val="36"/>
          <w:u w:color="000000"/>
          <w:lang w:val="zh-TW" w:eastAsia="zh-TW"/>
          <w14:textFill>
            <w14:solidFill>
              <w14:srgbClr w14:val="000000"/>
            </w14:solidFill>
          </w14:textFill>
        </w:rPr>
      </w:pPr>
      <w:r>
        <w:rPr>
          <w:sz w:val="36"/>
          <w:szCs w:val="36"/>
          <w:rtl w:val="0"/>
          <w:lang w:val="en-US"/>
        </w:rPr>
        <w:t xml:space="preserve">The characters in symmetrical regular script are large as a peck, florishing and fascinating, forceful and strong, of the former periods it is equal to the intentions of Zhong [You; 151-230] and Wang [Xizhi; 303-361]. Certainly it was done by a good calligrapher of his time.  </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八分字，大如斗，秀媚遒勁，上嫓鍾王</w:t>
      </w:r>
      <w:r>
        <w:rPr>
          <w:rFonts w:ascii="Arial Unicode MS" w:cs="Arial Unicode MS" w:hAnsi="Arial Unicode MS" w:eastAsia="Arial Unicode MS" w:hint="eastAsia"/>
          <w:b w:val="0"/>
          <w:bCs w:val="0"/>
          <w:i w:val="0"/>
          <w:iCs w:val="0"/>
          <w:outline w:val="0"/>
          <w:color w:val="000000"/>
          <w:kern w:val="24"/>
          <w:sz w:val="36"/>
          <w:szCs w:val="36"/>
          <w:u w:color="000000"/>
          <w:shd w:val="clear" w:color="auto" w:fill="ff0000"/>
          <w:rtl w:val="0"/>
          <w:lang w:val="zh-TW" w:eastAsia="zh-TW"/>
          <w14:textFill>
            <w14:solidFill>
              <w14:srgbClr w14:val="000000"/>
            </w14:solidFill>
          </w14:textFill>
        </w:rPr>
        <w:t>，</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意</w:t>
      </w:r>
      <w:r>
        <w:rPr>
          <w:rFonts w:ascii="Verdana" w:hAnsi="Verdana"/>
          <w:outline w:val="0"/>
          <w:color w:val="000000"/>
          <w:kern w:val="24"/>
          <w:sz w:val="36"/>
          <w:szCs w:val="36"/>
          <w:u w:color="000000"/>
          <w:shd w:val="clear" w:color="auto" w:fill="00ff00"/>
          <w:rtl w:val="0"/>
          <w:lang w:val="en-US"/>
          <w14:textFill>
            <w14:solidFill>
              <w14:srgbClr w14:val="000000"/>
            </w14:solidFill>
          </w14:textFill>
        </w:rPr>
        <w:t>,</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必當時善書者所作。</w:t>
      </w:r>
      <w:r>
        <w:rPr>
          <w:sz w:val="36"/>
          <w:szCs w:val="36"/>
          <w:vertAlign w:val="superscript"/>
          <w:lang w:val="en-US"/>
        </w:rPr>
        <w:footnoteReference w:id="8"/>
      </w:r>
    </w:p>
    <w:p>
      <w:pPr>
        <w:pStyle w:val="Normal.0"/>
        <w:spacing w:after="120" w:line="240" w:lineRule="auto"/>
        <w:ind w:firstLine="720"/>
        <w:rPr>
          <w:sz w:val="36"/>
          <w:szCs w:val="36"/>
        </w:rPr>
      </w:pPr>
      <w:r>
        <w:rPr>
          <w:sz w:val="36"/>
          <w:szCs w:val="36"/>
          <w:rtl w:val="0"/>
          <w:lang w:val="de-DE"/>
        </w:rPr>
        <w:t>#endBlockQuote</w:t>
      </w:r>
    </w:p>
    <w:p>
      <w:pPr>
        <w:pStyle w:val="Normal.0"/>
        <w:spacing w:after="120" w:line="240" w:lineRule="auto"/>
        <w:ind w:firstLine="720"/>
        <w:rPr>
          <w:sz w:val="36"/>
          <w:szCs w:val="36"/>
        </w:rPr>
      </w:pPr>
      <w:r>
        <w:rPr>
          <w:sz w:val="36"/>
          <w:szCs w:val="36"/>
          <w:rtl w:val="0"/>
          <w:lang w:val="en-US"/>
        </w:rPr>
        <w:t xml:space="preserve">The style can be characterized as a self-conscious archaizing clerical script. The calligrapher constructs symmetrical character compositions, such as </w:t>
      </w:r>
      <w:r>
        <w:rPr>
          <w:i w:val="1"/>
          <w:iCs w:val="1"/>
          <w:sz w:val="36"/>
          <w:szCs w:val="36"/>
          <w:rtl w:val="0"/>
          <w:lang w:val="en-US"/>
        </w:rPr>
        <w:t>he</w:t>
      </w:r>
      <w:r>
        <w:rPr>
          <w:sz w:val="36"/>
          <w:szCs w:val="36"/>
          <w:rtl w:val="0"/>
          <w:lang w:val="en-US"/>
        </w:rPr>
        <w:t xml:space="preserve"> </w:t>
      </w:r>
      <w:r>
        <w:rPr>
          <w:rFonts w:ascii="PMingLiU" w:cs="PMingLiU" w:hAnsi="PMingLiU" w:eastAsia="PMingLiU"/>
          <w:sz w:val="36"/>
          <w:szCs w:val="36"/>
          <w:rtl w:val="0"/>
          <w:lang w:val="zh-TW" w:eastAsia="zh-TW"/>
        </w:rPr>
        <w:t>合</w:t>
      </w:r>
      <w:r>
        <w:rPr>
          <w:sz w:val="36"/>
          <w:szCs w:val="36"/>
          <w:rtl w:val="0"/>
          <w:lang w:val="en-US"/>
        </w:rPr>
        <w:t xml:space="preserve"> (1/7), </w:t>
      </w:r>
      <w:r>
        <w:rPr>
          <w:i w:val="1"/>
          <w:iCs w:val="1"/>
          <w:sz w:val="36"/>
          <w:szCs w:val="36"/>
          <w:rtl w:val="0"/>
          <w:lang w:val="en-US"/>
        </w:rPr>
        <w:t>qu</w:t>
      </w:r>
      <w:r>
        <w:rPr>
          <w:sz w:val="36"/>
          <w:szCs w:val="36"/>
          <w:rtl w:val="0"/>
          <w:lang w:val="en-US"/>
        </w:rPr>
        <w:t xml:space="preserve"> </w:t>
      </w:r>
      <w:r>
        <w:rPr>
          <w:rFonts w:ascii="PMingLiU" w:cs="PMingLiU" w:hAnsi="PMingLiU" w:eastAsia="PMingLiU"/>
          <w:sz w:val="36"/>
          <w:szCs w:val="36"/>
          <w:rtl w:val="0"/>
          <w:lang w:val="zh-TW" w:eastAsia="zh-TW"/>
        </w:rPr>
        <w:t>曲</w:t>
      </w:r>
      <w:r>
        <w:rPr>
          <w:sz w:val="36"/>
          <w:szCs w:val="36"/>
          <w:rtl w:val="0"/>
          <w:lang w:val="en-US"/>
        </w:rPr>
        <w:t xml:space="preserve"> (1/9), </w:t>
      </w:r>
      <w:r>
        <w:rPr>
          <w:i w:val="1"/>
          <w:iCs w:val="1"/>
          <w:sz w:val="36"/>
          <w:szCs w:val="36"/>
          <w:rtl w:val="0"/>
          <w:lang w:val="en-US"/>
        </w:rPr>
        <w:t>bai</w:t>
      </w:r>
      <w:r>
        <w:rPr>
          <w:sz w:val="36"/>
          <w:szCs w:val="36"/>
          <w:rtl w:val="0"/>
          <w:lang w:val="en-US"/>
        </w:rPr>
        <w:t xml:space="preserve"> </w:t>
      </w:r>
      <w:r>
        <w:rPr>
          <w:rFonts w:ascii="PMingLiU" w:cs="PMingLiU" w:hAnsi="PMingLiU" w:eastAsia="PMingLiU"/>
          <w:sz w:val="36"/>
          <w:szCs w:val="36"/>
          <w:rtl w:val="0"/>
          <w:lang w:val="zh-TW" w:eastAsia="zh-TW"/>
        </w:rPr>
        <w:t>白</w:t>
      </w:r>
      <w:r>
        <w:rPr>
          <w:sz w:val="36"/>
          <w:szCs w:val="36"/>
          <w:rtl w:val="0"/>
          <w:lang w:val="en-US"/>
        </w:rPr>
        <w:t xml:space="preserve"> (1/14), </w:t>
      </w:r>
      <w:r>
        <w:rPr>
          <w:i w:val="1"/>
          <w:iCs w:val="1"/>
          <w:sz w:val="36"/>
          <w:szCs w:val="36"/>
          <w:rtl w:val="0"/>
          <w:lang w:val="en-US"/>
        </w:rPr>
        <w:t>bai</w:t>
      </w:r>
      <w:r>
        <w:rPr>
          <w:rFonts w:ascii="PMingLiU" w:cs="PMingLiU" w:hAnsi="PMingLiU" w:eastAsia="PMingLiU"/>
          <w:sz w:val="36"/>
          <w:szCs w:val="36"/>
          <w:rtl w:val="0"/>
          <w:lang w:val="zh-TW" w:eastAsia="zh-TW"/>
        </w:rPr>
        <w:t>百</w:t>
      </w:r>
      <w:r>
        <w:rPr>
          <w:i w:val="1"/>
          <w:iCs w:val="1"/>
          <w:sz w:val="36"/>
          <w:szCs w:val="36"/>
          <w:rtl w:val="0"/>
          <w:lang w:val="en-US"/>
        </w:rPr>
        <w:t xml:space="preserve"> </w:t>
      </w:r>
      <w:r>
        <w:rPr>
          <w:sz w:val="36"/>
          <w:szCs w:val="36"/>
          <w:rtl w:val="0"/>
          <w:lang w:val="en-US"/>
        </w:rPr>
        <w:t xml:space="preserve">(3/4), </w:t>
      </w:r>
      <w:r>
        <w:rPr>
          <w:i w:val="1"/>
          <w:iCs w:val="1"/>
          <w:sz w:val="36"/>
          <w:szCs w:val="36"/>
          <w:rtl w:val="0"/>
          <w:lang w:val="en-US"/>
        </w:rPr>
        <w:t>kou</w:t>
      </w:r>
      <w:r>
        <w:rPr>
          <w:rFonts w:ascii="PMingLiU" w:cs="PMingLiU" w:hAnsi="PMingLiU" w:eastAsia="PMingLiU"/>
          <w:sz w:val="36"/>
          <w:szCs w:val="36"/>
          <w:rtl w:val="0"/>
          <w:lang w:val="zh-TW" w:eastAsia="zh-TW"/>
        </w:rPr>
        <w:t>口</w:t>
      </w:r>
      <w:r>
        <w:rPr>
          <w:sz w:val="36"/>
          <w:szCs w:val="36"/>
          <w:rtl w:val="0"/>
          <w:lang w:val="en-US"/>
        </w:rPr>
        <w:t xml:space="preserve"> (8/1), and </w:t>
      </w:r>
      <w:r>
        <w:rPr>
          <w:i w:val="1"/>
          <w:iCs w:val="1"/>
          <w:sz w:val="36"/>
          <w:szCs w:val="36"/>
          <w:rtl w:val="0"/>
          <w:lang w:val="en-US"/>
        </w:rPr>
        <w:t xml:space="preserve">bai </w:t>
      </w:r>
      <w:r>
        <w:rPr>
          <w:rFonts w:ascii="PMingLiU" w:cs="PMingLiU" w:hAnsi="PMingLiU" w:eastAsia="PMingLiU"/>
          <w:sz w:val="36"/>
          <w:szCs w:val="36"/>
          <w:rtl w:val="0"/>
          <w:lang w:val="zh-TW" w:eastAsia="zh-TW"/>
        </w:rPr>
        <w:t>白</w:t>
      </w:r>
      <w:r>
        <w:rPr>
          <w:sz w:val="36"/>
          <w:szCs w:val="36"/>
          <w:rtl w:val="0"/>
          <w:lang w:val="en-US"/>
        </w:rPr>
        <w:t xml:space="preserve"> (8/14). Also unusual are the playful straight rows of four circular dots in the character </w:t>
      </w:r>
      <w:r>
        <w:rPr>
          <w:i w:val="1"/>
          <w:iCs w:val="1"/>
          <w:sz w:val="36"/>
          <w:szCs w:val="36"/>
          <w:rtl w:val="0"/>
          <w:lang w:val="en-US"/>
        </w:rPr>
        <w:t>zhi</w:t>
      </w:r>
      <w:r>
        <w:rPr>
          <w:sz w:val="36"/>
          <w:szCs w:val="36"/>
          <w:rtl w:val="0"/>
          <w:lang w:val="en-US"/>
        </w:rPr>
        <w:t xml:space="preserve"> </w:t>
      </w:r>
      <w:r>
        <w:rPr>
          <w:rFonts w:ascii="PMingLiU" w:cs="PMingLiU" w:hAnsi="PMingLiU" w:eastAsia="PMingLiU"/>
          <w:sz w:val="36"/>
          <w:szCs w:val="36"/>
          <w:rtl w:val="0"/>
          <w:lang w:val="zh-TW" w:eastAsia="zh-TW"/>
        </w:rPr>
        <w:t>之</w:t>
      </w:r>
      <w:r>
        <w:rPr>
          <w:sz w:val="36"/>
          <w:szCs w:val="36"/>
          <w:rtl w:val="0"/>
          <w:lang w:val="en-US"/>
        </w:rPr>
        <w:t xml:space="preserve"> (5/5, 5/13, 5/18). Perfectly circular dots are also seen on the stele on Mount Shuiniu </w:t>
      </w:r>
      <w:r>
        <w:rPr>
          <w:rFonts w:ascii="PMingLiU" w:cs="PMingLiU" w:hAnsi="PMingLiU" w:eastAsia="PMingLiU"/>
          <w:sz w:val="36"/>
          <w:szCs w:val="36"/>
          <w:rtl w:val="0"/>
          <w:lang w:val="zh-TW" w:eastAsia="zh-TW"/>
        </w:rPr>
        <w:t>水牛山</w:t>
      </w:r>
      <w:r>
        <w:rPr>
          <w:sz w:val="36"/>
          <w:szCs w:val="36"/>
          <w:rtl w:val="0"/>
          <w:lang w:val="en-US"/>
        </w:rPr>
        <w:t xml:space="preserve"> with a tentative date of 558</w:t>
      </w:r>
      <w:r>
        <w:rPr>
          <w:sz w:val="36"/>
          <w:szCs w:val="36"/>
          <w:rtl w:val="0"/>
          <w:lang w:val="en-US"/>
        </w:rPr>
        <w:t>–</w:t>
      </w:r>
      <w:r>
        <w:rPr>
          <w:sz w:val="36"/>
          <w:szCs w:val="36"/>
          <w:rtl w:val="0"/>
          <w:lang w:val="en-US"/>
        </w:rPr>
        <w:t>561.</w:t>
      </w:r>
      <w:r>
        <w:rPr>
          <w:sz w:val="36"/>
          <w:szCs w:val="36"/>
          <w:vertAlign w:val="superscript"/>
          <w:lang w:val="en-US"/>
        </w:rPr>
        <w:footnoteReference w:id="9"/>
      </w:r>
      <w:r>
        <w:rPr>
          <w:sz w:val="36"/>
          <w:szCs w:val="36"/>
          <w:rtl w:val="0"/>
          <w:lang w:val="en-US"/>
        </w:rPr>
        <w:t xml:space="preserve"> As the epigraphers noted, the remarkable style of the Shifo Monastery stele was reserved for the sutra. All other inscriptions on the stele, the colophon contemporary with the sutra as well as the three later colophons, used various forms of regular script. </w:t>
      </w:r>
    </w:p>
    <w:p>
      <w:pPr>
        <w:pStyle w:val="Normal.0"/>
        <w:spacing w:after="120" w:line="240" w:lineRule="auto"/>
        <w:ind w:firstLine="720"/>
        <w:rPr>
          <w:sz w:val="36"/>
          <w:szCs w:val="36"/>
        </w:rPr>
      </w:pPr>
    </w:p>
    <w:p>
      <w:pPr>
        <w:pStyle w:val="Normal.0"/>
        <w:spacing w:after="120" w:line="240" w:lineRule="auto"/>
        <w:ind w:firstLine="720"/>
        <w:rPr>
          <w:sz w:val="36"/>
          <w:szCs w:val="36"/>
        </w:rPr>
      </w:pPr>
      <w:r>
        <w:rPr>
          <w:sz w:val="36"/>
          <w:szCs w:val="36"/>
        </w:rPr>
        <w:drawing xmlns:a="http://schemas.openxmlformats.org/drawingml/2006/main">
          <wp:inline distT="0" distB="0" distL="0" distR="0">
            <wp:extent cx="4742609" cy="7701343"/>
            <wp:effectExtent l="0" t="0" r="0" b="0"/>
            <wp:docPr id="1073741827" name="officeArt object" descr="Y:\stonesutras1\Images\Shandong_Band_5\SF_1_JY-Stele-Ins_detail_DSC2569_stitch.jpg"/>
            <wp:cNvGraphicFramePr/>
            <a:graphic xmlns:a="http://schemas.openxmlformats.org/drawingml/2006/main">
              <a:graphicData uri="http://schemas.openxmlformats.org/drawingml/2006/picture">
                <pic:pic xmlns:pic="http://schemas.openxmlformats.org/drawingml/2006/picture">
                  <pic:nvPicPr>
                    <pic:cNvPr id="1073741827" name="Y:\stonesutras1\Images\Shandong_Band_5\SF_1_JY-Stele-Ins_detail_DSC2569_stitch.jpg" descr="Y:\stonesutras1\Images\Shandong_Band_5\SF_1_JY-Stele-Ins_detail_DSC2569_stitch.jpg"/>
                    <pic:cNvPicPr>
                      <a:picLocks noChangeAspect="1"/>
                    </pic:cNvPicPr>
                  </pic:nvPicPr>
                  <pic:blipFill>
                    <a:blip r:embed="rId6">
                      <a:extLst/>
                    </a:blip>
                    <a:stretch>
                      <a:fillRect/>
                    </a:stretch>
                  </pic:blipFill>
                  <pic:spPr>
                    <a:xfrm>
                      <a:off x="0" y="0"/>
                      <a:ext cx="4742609" cy="7701343"/>
                    </a:xfrm>
                    <a:prstGeom prst="rect">
                      <a:avLst/>
                    </a:prstGeom>
                    <a:ln w="12700" cap="flat">
                      <a:noFill/>
                      <a:miter lim="400000"/>
                    </a:ln>
                    <a:effectLst/>
                  </pic:spPr>
                </pic:pic>
              </a:graphicData>
            </a:graphic>
          </wp:inline>
        </w:drawing>
      </w:r>
    </w:p>
    <w:p>
      <w:pPr>
        <w:pStyle w:val="Normal.0"/>
        <w:spacing w:after="120" w:line="240" w:lineRule="auto"/>
        <w:ind w:firstLine="720"/>
        <w:rPr>
          <w:sz w:val="36"/>
          <w:szCs w:val="36"/>
        </w:rPr>
      </w:pPr>
      <w:r>
        <w:rPr>
          <w:sz w:val="36"/>
          <w:szCs w:val="36"/>
          <w:rtl w:val="0"/>
          <w:lang w:val="en-US"/>
        </w:rPr>
        <w:t>Detail of the Stele from Shifo Monastery</w:t>
      </w:r>
    </w:p>
    <w:p>
      <w:pPr>
        <w:pStyle w:val="Normal.0"/>
        <w:spacing w:after="120" w:line="240" w:lineRule="auto"/>
        <w:ind w:firstLine="720"/>
        <w:rPr>
          <w:sz w:val="36"/>
          <w:szCs w:val="36"/>
          <w:lang w:val="de-DE"/>
        </w:rPr>
      </w:pPr>
      <w:r>
        <w:rPr>
          <w:sz w:val="36"/>
          <w:szCs w:val="36"/>
          <w:rtl w:val="0"/>
          <w:lang w:val="de-DE"/>
        </w:rPr>
        <w:t>SF_1_JY-stele-ins_detail DSC2569</w:t>
      </w:r>
    </w:p>
    <w:p>
      <w:pPr>
        <w:pStyle w:val="Normal.0"/>
        <w:spacing w:after="120" w:line="240" w:lineRule="auto"/>
        <w:rPr>
          <w:sz w:val="36"/>
          <w:szCs w:val="36"/>
          <w:shd w:val="clear" w:color="auto" w:fill="ffff00"/>
          <w:lang w:val="de-DE"/>
        </w:rPr>
      </w:pPr>
    </w:p>
    <w:p>
      <w:pPr>
        <w:pStyle w:val="Normal.0"/>
        <w:spacing w:after="120" w:line="240" w:lineRule="auto"/>
        <w:ind w:firstLine="720"/>
        <w:rPr>
          <w:sz w:val="36"/>
          <w:szCs w:val="36"/>
        </w:rPr>
      </w:pPr>
      <w:r>
        <w:rPr>
          <w:sz w:val="36"/>
          <w:szCs w:val="36"/>
          <w:rtl w:val="0"/>
          <w:lang w:val="en-US"/>
        </w:rPr>
        <w:t xml:space="preserve">Ruan Yuan read a date of the </w:t>
      </w:r>
      <w:r>
        <w:rPr>
          <w:i w:val="1"/>
          <w:iCs w:val="1"/>
          <w:sz w:val="36"/>
          <w:szCs w:val="36"/>
          <w:rtl w:val="0"/>
          <w:lang w:val="en-US"/>
        </w:rPr>
        <w:t>heqing</w:t>
      </w:r>
      <w:r>
        <w:rPr>
          <w:sz w:val="36"/>
          <w:szCs w:val="36"/>
          <w:rtl w:val="0"/>
          <w:lang w:val="en-US"/>
        </w:rPr>
        <w:t xml:space="preserve"> </w:t>
      </w:r>
      <w:r>
        <w:rPr>
          <w:rFonts w:eastAsia="SimSun" w:hint="eastAsia"/>
          <w:sz w:val="36"/>
          <w:szCs w:val="36"/>
          <w:rtl w:val="0"/>
          <w:lang w:val="zh-TW" w:eastAsia="zh-TW"/>
        </w:rPr>
        <w:t>河</w:t>
      </w:r>
      <w:r>
        <w:rPr>
          <w:rFonts w:eastAsia="SimSun" w:hint="eastAsia"/>
          <w:spacing w:val="1"/>
          <w:sz w:val="36"/>
          <w:szCs w:val="36"/>
          <w:rtl w:val="0"/>
          <w:lang w:val="zh-TW" w:eastAsia="zh-TW"/>
        </w:rPr>
        <w:t>清</w:t>
      </w:r>
      <w:r>
        <w:rPr>
          <w:sz w:val="36"/>
          <w:szCs w:val="36"/>
          <w:rtl w:val="0"/>
          <w:lang w:val="en-US"/>
        </w:rPr>
        <w:t xml:space="preserve">period, but left the year open. The Gazetteer of 1846 writes </w:t>
      </w:r>
      <w:r>
        <w:rPr>
          <w:sz w:val="36"/>
          <w:szCs w:val="36"/>
          <w:rtl w:val="0"/>
          <w:lang w:val="en-US"/>
        </w:rPr>
        <w:t>“</w:t>
      </w:r>
      <w:r>
        <w:rPr>
          <w:sz w:val="36"/>
          <w:szCs w:val="36"/>
          <w:rtl w:val="0"/>
          <w:lang w:val="en-US"/>
        </w:rPr>
        <w:t xml:space="preserve">what one can decipher are only the six characters </w:t>
      </w:r>
      <w:r>
        <w:rPr>
          <w:sz w:val="36"/>
          <w:szCs w:val="36"/>
          <w:rtl w:val="0"/>
          <w:lang w:val="en-US"/>
        </w:rPr>
        <w:t>‘</w:t>
      </w:r>
      <w:r>
        <w:rPr>
          <w:sz w:val="36"/>
          <w:szCs w:val="36"/>
          <w:rtl w:val="0"/>
          <w:lang w:val="en-US"/>
        </w:rPr>
        <w:t xml:space="preserve">second year of the </w:t>
      </w:r>
      <w:r>
        <w:rPr>
          <w:i w:val="1"/>
          <w:iCs w:val="1"/>
          <w:sz w:val="36"/>
          <w:szCs w:val="36"/>
          <w:rtl w:val="0"/>
          <w:lang w:val="en-US"/>
        </w:rPr>
        <w:t xml:space="preserve">heqing </w:t>
      </w:r>
      <w:r>
        <w:rPr>
          <w:sz w:val="36"/>
          <w:szCs w:val="36"/>
          <w:rtl w:val="0"/>
          <w:lang w:val="en-US"/>
        </w:rPr>
        <w:t>period of the Great Qi</w:t>
      </w:r>
      <w:r>
        <w:rPr>
          <w:sz w:val="36"/>
          <w:szCs w:val="36"/>
          <w:rtl w:val="0"/>
          <w:lang w:val="en-US"/>
        </w:rPr>
        <w:t xml:space="preserve">’ </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可辨者僅</w:t>
      </w:r>
      <w:r>
        <w:rPr>
          <w:rFonts w:ascii="DengXian" w:cs="DengXian" w:hAnsi="DengXian" w:eastAsia="DengXian"/>
          <w:outline w:val="0"/>
          <w:color w:val="000000"/>
          <w:kern w:val="24"/>
          <w:sz w:val="36"/>
          <w:szCs w:val="36"/>
          <w:u w:color="000000"/>
          <w:rtl w:val="0"/>
          <w:lang w:val="en-US"/>
          <w14:textFill>
            <w14:solidFill>
              <w14:srgbClr w14:val="000000"/>
            </w14:solidFill>
          </w14:textFill>
        </w:rPr>
        <w:t>’</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大齊河清二年</w:t>
      </w:r>
      <w:r>
        <w:rPr>
          <w:rFonts w:ascii="DengXian" w:cs="DengXian" w:hAnsi="DengXian" w:eastAsia="DengXian"/>
          <w:outline w:val="0"/>
          <w:color w:val="000000"/>
          <w:kern w:val="24"/>
          <w:sz w:val="36"/>
          <w:szCs w:val="36"/>
          <w:u w:color="000000"/>
          <w:rtl w:val="0"/>
          <w:lang w:val="en-US"/>
          <w14:textFill>
            <w14:solidFill>
              <w14:srgbClr w14:val="000000"/>
            </w14:solidFill>
          </w14:textFill>
        </w:rPr>
        <w:t>’</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六字</w:t>
      </w:r>
      <w:r>
        <w:rPr>
          <w:sz w:val="36"/>
          <w:szCs w:val="36"/>
          <w:rtl w:val="0"/>
          <w:lang w:val="en-US"/>
        </w:rPr>
        <w:t xml:space="preserve">” </w:t>
      </w:r>
      <w:r>
        <w:rPr>
          <w:sz w:val="36"/>
          <w:szCs w:val="36"/>
          <w:rtl w:val="0"/>
          <w:lang w:val="en-US"/>
        </w:rPr>
        <w:t xml:space="preserve">which would be 563, but like most epigraphers we have adopted here the reading </w:t>
      </w:r>
      <w:r>
        <w:rPr>
          <w:sz w:val="36"/>
          <w:szCs w:val="36"/>
          <w:rtl w:val="0"/>
          <w:lang w:val="en-US"/>
        </w:rPr>
        <w:t>“</w:t>
      </w:r>
      <w:r>
        <w:rPr>
          <w:sz w:val="36"/>
          <w:szCs w:val="36"/>
          <w:rtl w:val="0"/>
          <w:lang w:val="en-US"/>
        </w:rPr>
        <w:t xml:space="preserve">third year </w:t>
      </w:r>
      <w:r>
        <w:rPr>
          <w:rFonts w:ascii="Arial Unicode MS" w:cs="Arial Unicode MS" w:hAnsi="Arial Unicode MS" w:eastAsia="Arial Unicode MS" w:hint="eastAsia"/>
          <w:b w:val="0"/>
          <w:bCs w:val="0"/>
          <w:i w:val="0"/>
          <w:iCs w:val="0"/>
          <w:sz w:val="36"/>
          <w:szCs w:val="36"/>
          <w:rtl w:val="0"/>
          <w:lang w:val="zh-TW" w:eastAsia="zh-TW"/>
        </w:rPr>
        <w:t>三</w:t>
      </w:r>
      <w:r>
        <w:rPr>
          <w:rFonts w:ascii="Arial Unicode MS" w:cs="Arial Unicode MS" w:hAnsi="Arial Unicode MS" w:eastAsia="Arial Unicode MS" w:hint="eastAsia"/>
          <w:b w:val="0"/>
          <w:bCs w:val="0"/>
          <w:i w:val="0"/>
          <w:iCs w:val="0"/>
          <w:outline w:val="0"/>
          <w:color w:val="000000"/>
          <w:kern w:val="24"/>
          <w:sz w:val="36"/>
          <w:szCs w:val="36"/>
          <w:u w:color="000000"/>
          <w:rtl w:val="0"/>
          <w:lang w:val="zh-TW" w:eastAsia="zh-TW"/>
          <w14:textFill>
            <w14:solidFill>
              <w14:srgbClr w14:val="000000"/>
            </w14:solidFill>
          </w14:textFill>
        </w:rPr>
        <w:t>年</w:t>
      </w:r>
      <w:r>
        <w:rPr>
          <w:sz w:val="36"/>
          <w:szCs w:val="36"/>
          <w:rtl w:val="0"/>
          <w:lang w:val="en-US"/>
        </w:rPr>
        <w:t xml:space="preserve">“ </w:t>
      </w:r>
      <w:r>
        <w:rPr>
          <w:sz w:val="36"/>
          <w:szCs w:val="36"/>
          <w:rtl w:val="0"/>
          <w:lang w:val="en-US"/>
        </w:rPr>
        <w:t xml:space="preserve">which is 564. </w:t>
      </w:r>
    </w:p>
    <w:p>
      <w:pPr>
        <w:pStyle w:val="Normal.0"/>
        <w:spacing w:after="120" w:line="240" w:lineRule="auto"/>
        <w:ind w:firstLine="720"/>
        <w:rPr>
          <w:outline w:val="0"/>
          <w:color w:val="ffc000"/>
          <w:u w:color="ffc000"/>
          <w14:textFill>
            <w14:solidFill>
              <w14:srgbClr w14:val="FFC000"/>
            </w14:solidFill>
          </w14:textFill>
        </w:rPr>
      </w:pPr>
      <w:r>
        <w:rPr>
          <w:sz w:val="36"/>
          <w:szCs w:val="36"/>
          <w:rtl w:val="0"/>
          <w:lang w:val="de-DE"/>
        </w:rPr>
        <w:t>#articleHeader</w:t>
      </w:r>
    </w:p>
    <w:p>
      <w:pPr>
        <w:pStyle w:val="Normal.0"/>
        <w:spacing w:after="120" w:line="240" w:lineRule="auto"/>
        <w:ind w:firstLine="720"/>
        <w:rPr>
          <w:outline w:val="0"/>
          <w:color w:val="ffc000"/>
          <w:sz w:val="48"/>
          <w:szCs w:val="48"/>
          <w:u w:color="ffc000"/>
          <w14:textFill>
            <w14:solidFill>
              <w14:srgbClr w14:val="FFC000"/>
            </w14:solidFill>
          </w14:textFill>
        </w:rPr>
      </w:pPr>
      <w:r>
        <w:rPr>
          <w:outline w:val="0"/>
          <w:color w:val="ffc000"/>
          <w:sz w:val="48"/>
          <w:szCs w:val="48"/>
          <w:u w:color="ffc000"/>
          <w:rtl w:val="0"/>
          <w:lang w:val="en-US"/>
          <w14:textFill>
            <w14:solidFill>
              <w14:srgbClr w14:val="FFC000"/>
            </w14:solidFill>
          </w14:textFill>
        </w:rPr>
        <w:t>The Texts</w:t>
      </w:r>
    </w:p>
    <w:p>
      <w:pPr>
        <w:pStyle w:val="Normal.0"/>
        <w:spacing w:after="120" w:line="240" w:lineRule="auto"/>
        <w:ind w:firstLine="720"/>
        <w:rPr>
          <w:sz w:val="36"/>
          <w:szCs w:val="36"/>
        </w:rPr>
      </w:pPr>
    </w:p>
    <w:p>
      <w:pPr>
        <w:pStyle w:val="Normal.0"/>
        <w:spacing w:after="120" w:line="240" w:lineRule="auto"/>
        <w:ind w:firstLine="720"/>
        <w:rPr>
          <w:sz w:val="36"/>
          <w:szCs w:val="36"/>
        </w:rPr>
      </w:pPr>
      <w:r>
        <w:rPr>
          <w:sz w:val="36"/>
          <w:szCs w:val="36"/>
          <w:rtl w:val="0"/>
          <w:lang w:val="en-US"/>
        </w:rPr>
        <w:t xml:space="preserve">No title of the sutra text is engraved. There are only four small characters written horizontally below columns 2 and 3 reading </w:t>
      </w:r>
      <w:r>
        <w:rPr>
          <w:sz w:val="36"/>
          <w:szCs w:val="36"/>
          <w:rtl w:val="0"/>
          <w:lang w:val="en-US"/>
        </w:rPr>
        <w:t>“</w:t>
      </w:r>
      <w:r>
        <w:rPr>
          <w:sz w:val="36"/>
          <w:szCs w:val="36"/>
          <w:rtl w:val="0"/>
          <w:lang w:val="en-US"/>
        </w:rPr>
        <w:t xml:space="preserve">Verse from the </w:t>
      </w:r>
      <w:r>
        <w:rPr>
          <w:i w:val="1"/>
          <w:iCs w:val="1"/>
          <w:sz w:val="36"/>
          <w:szCs w:val="36"/>
          <w:rtl w:val="0"/>
          <w:lang w:val="en-US"/>
        </w:rPr>
        <w:t>Flower Garland Sutra</w:t>
      </w:r>
      <w:r>
        <w:rPr>
          <w:sz w:val="36"/>
          <w:szCs w:val="36"/>
          <w:rtl w:val="0"/>
          <w:lang w:val="en-US"/>
        </w:rPr>
        <w:t xml:space="preserve">” </w:t>
      </w:r>
      <w:r>
        <w:rPr>
          <w:sz w:val="36"/>
          <w:szCs w:val="36"/>
          <w:rtl w:val="0"/>
          <w:lang w:val="en-US"/>
        </w:rPr>
        <w:t>(</w:t>
      </w:r>
      <w:r>
        <w:rPr>
          <w:i w:val="1"/>
          <w:iCs w:val="1"/>
          <w:sz w:val="36"/>
          <w:szCs w:val="36"/>
          <w:rtl w:val="0"/>
          <w:lang w:val="en-US"/>
        </w:rPr>
        <w:t xml:space="preserve">Huayan jing ji </w:t>
      </w:r>
      <w:r>
        <w:rPr>
          <w:rFonts w:ascii="PMingLiU" w:cs="PMingLiU" w:hAnsi="PMingLiU" w:eastAsia="PMingLiU"/>
          <w:sz w:val="36"/>
          <w:szCs w:val="36"/>
          <w:rtl w:val="0"/>
          <w:lang w:val="zh-TW" w:eastAsia="zh-TW"/>
        </w:rPr>
        <w:t>華嚴經偈</w:t>
      </w:r>
      <w:r>
        <w:rPr>
          <w:sz w:val="36"/>
          <w:szCs w:val="36"/>
          <w:rtl w:val="0"/>
          <w:lang w:val="en-US"/>
        </w:rPr>
        <w:t xml:space="preserve">). They were obviously added later, but some scholars nevertheless believed that the engraved text was a passage from the </w:t>
      </w:r>
      <w:r>
        <w:rPr>
          <w:i w:val="1"/>
          <w:iCs w:val="1"/>
          <w:sz w:val="36"/>
          <w:szCs w:val="36"/>
          <w:rtl w:val="0"/>
          <w:lang w:val="en-US"/>
        </w:rPr>
        <w:t>Flower Garland Sutra</w:t>
      </w:r>
      <w:r>
        <w:rPr>
          <w:rFonts w:ascii="PMingLiU" w:cs="PMingLiU" w:hAnsi="PMingLiU" w:eastAsia="PMingLiU"/>
          <w:sz w:val="36"/>
          <w:szCs w:val="36"/>
          <w:rtl w:val="0"/>
          <w:lang w:val="zh-TW" w:eastAsia="zh-TW"/>
        </w:rPr>
        <w:t>華嚴經</w:t>
      </w:r>
      <w:r>
        <w:rPr>
          <w:sz w:val="36"/>
          <w:szCs w:val="36"/>
          <w:rtl w:val="0"/>
          <w:lang w:val="en-US"/>
        </w:rPr>
        <w:t xml:space="preserve">. Only in 2003 did Zhang Zong </w:t>
      </w:r>
      <w:r>
        <w:rPr>
          <w:rFonts w:ascii="PMingLiU" w:cs="PMingLiU" w:hAnsi="PMingLiU" w:eastAsia="PMingLiU"/>
          <w:sz w:val="36"/>
          <w:szCs w:val="36"/>
          <w:rtl w:val="0"/>
          <w:lang w:val="zh-TW" w:eastAsia="zh-TW"/>
        </w:rPr>
        <w:t>張總</w:t>
      </w:r>
      <w:r>
        <w:rPr>
          <w:sz w:val="36"/>
          <w:szCs w:val="36"/>
          <w:rtl w:val="0"/>
          <w:lang w:val="en-US"/>
        </w:rPr>
        <w:t xml:space="preserve"> identify the text as being similar to a passage in the apocryphal </w:t>
      </w:r>
      <w:r>
        <w:rPr>
          <w:i w:val="1"/>
          <w:iCs w:val="1"/>
          <w:sz w:val="36"/>
          <w:szCs w:val="36"/>
          <w:rtl w:val="0"/>
          <w:lang w:val="en-US"/>
        </w:rPr>
        <w:t>Sutra of the Chapter on the Ten Evils from the Great Extensive Flower Garland</w:t>
      </w:r>
      <w:r>
        <w:rPr>
          <w:sz w:val="36"/>
          <w:szCs w:val="36"/>
          <w:rtl w:val="0"/>
          <w:lang w:val="en-US"/>
        </w:rPr>
        <w:t xml:space="preserve"> (</w:t>
      </w:r>
      <w:r>
        <w:rPr>
          <w:i w:val="1"/>
          <w:iCs w:val="1"/>
          <w:sz w:val="36"/>
          <w:szCs w:val="36"/>
          <w:rtl w:val="0"/>
          <w:lang w:val="en-US"/>
        </w:rPr>
        <w:t>Dafangguang huayan shi epin jing</w:t>
      </w:r>
      <w:r>
        <w:rPr>
          <w:rFonts w:ascii="PMingLiU" w:cs="PMingLiU" w:hAnsi="PMingLiU" w:eastAsia="PMingLiU"/>
          <w:sz w:val="36"/>
          <w:szCs w:val="36"/>
          <w:rtl w:val="0"/>
          <w:lang w:val="zh-TW" w:eastAsia="zh-TW"/>
        </w:rPr>
        <w:t>大方廣華嚴十惡品經</w:t>
      </w:r>
      <w:r>
        <w:rPr>
          <w:sz w:val="36"/>
          <w:szCs w:val="36"/>
          <w:rtl w:val="0"/>
          <w:lang w:val="en-US"/>
        </w:rPr>
        <w:t>), several versions of which were preserved in Dunhuang (T#2875, 85: 1360b27-1360c8).</w:t>
      </w:r>
      <w:r>
        <w:rPr>
          <w:sz w:val="36"/>
          <w:szCs w:val="36"/>
          <w:vertAlign w:val="superscript"/>
          <w:lang w:val="en-US"/>
        </w:rPr>
        <w:footnoteReference w:id="10"/>
      </w:r>
      <w:r>
        <w:rPr>
          <w:sz w:val="36"/>
          <w:szCs w:val="36"/>
          <w:rtl w:val="0"/>
          <w:lang w:val="en-US"/>
        </w:rPr>
        <w:t xml:space="preserve"> Another abbreviated version of the text is engraved with the title </w:t>
      </w:r>
      <w:r>
        <w:rPr>
          <w:i w:val="1"/>
          <w:iCs w:val="1"/>
          <w:sz w:val="36"/>
          <w:szCs w:val="36"/>
          <w:rtl w:val="0"/>
          <w:lang w:val="en-US"/>
        </w:rPr>
        <w:t>Flower Brightness Sutra</w:t>
      </w:r>
      <w:r>
        <w:rPr>
          <w:sz w:val="36"/>
          <w:szCs w:val="36"/>
          <w:rtl w:val="0"/>
          <w:lang w:val="en-US"/>
        </w:rPr>
        <w:t xml:space="preserve"> (</w:t>
      </w:r>
      <w:r>
        <w:rPr>
          <w:i w:val="1"/>
          <w:iCs w:val="1"/>
          <w:sz w:val="36"/>
          <w:szCs w:val="36"/>
          <w:rtl w:val="0"/>
          <w:lang w:val="en-US"/>
        </w:rPr>
        <w:t>Huaxian jing</w:t>
      </w:r>
      <w:r>
        <w:rPr>
          <w:sz w:val="36"/>
          <w:szCs w:val="36"/>
          <w:rtl w:val="0"/>
          <w:lang w:val="en-US"/>
        </w:rPr>
        <w:t xml:space="preserve"> </w:t>
      </w:r>
      <w:r>
        <w:rPr>
          <w:rFonts w:ascii="PMingLiU" w:cs="PMingLiU" w:hAnsi="PMingLiU" w:eastAsia="PMingLiU"/>
          <w:sz w:val="36"/>
          <w:szCs w:val="36"/>
          <w:rtl w:val="0"/>
          <w:lang w:val="zh-TW" w:eastAsia="zh-TW"/>
        </w:rPr>
        <w:t>華鮮經</w:t>
      </w:r>
      <w:r>
        <w:rPr>
          <w:sz w:val="36"/>
          <w:szCs w:val="36"/>
          <w:rtl w:val="0"/>
          <w:lang w:val="en-US"/>
        </w:rPr>
        <w:t xml:space="preserve">) in cave 20 at Dafowan </w:t>
      </w:r>
      <w:r>
        <w:rPr>
          <w:rFonts w:ascii="PMingLiU" w:cs="PMingLiU" w:hAnsi="PMingLiU" w:eastAsia="PMingLiU"/>
          <w:sz w:val="36"/>
          <w:szCs w:val="36"/>
          <w:rtl w:val="0"/>
          <w:lang w:val="zh-TW" w:eastAsia="zh-TW"/>
        </w:rPr>
        <w:t>大佛灣</w:t>
      </w:r>
      <w:r>
        <w:rPr>
          <w:sz w:val="36"/>
          <w:szCs w:val="36"/>
          <w:rtl w:val="0"/>
          <w:lang w:val="en-US"/>
        </w:rPr>
        <w:t xml:space="preserve">, Mount Baoding </w:t>
      </w:r>
      <w:r>
        <w:rPr>
          <w:rFonts w:ascii="PMingLiU" w:cs="PMingLiU" w:hAnsi="PMingLiU" w:eastAsia="PMingLiU"/>
          <w:sz w:val="36"/>
          <w:szCs w:val="36"/>
          <w:rtl w:val="0"/>
          <w:lang w:val="zh-TW" w:eastAsia="zh-TW"/>
        </w:rPr>
        <w:t>寶頂山</w:t>
      </w:r>
      <w:r>
        <w:rPr>
          <w:sz w:val="36"/>
          <w:szCs w:val="36"/>
          <w:rtl w:val="0"/>
          <w:lang w:val="en-US"/>
        </w:rPr>
        <w:t xml:space="preserve">, in Dazu </w:t>
      </w:r>
      <w:r>
        <w:rPr>
          <w:rFonts w:ascii="PMingLiU" w:cs="PMingLiU" w:hAnsi="PMingLiU" w:eastAsia="PMingLiU"/>
          <w:sz w:val="36"/>
          <w:szCs w:val="36"/>
          <w:rtl w:val="0"/>
          <w:lang w:val="zh-TW" w:eastAsia="zh-TW"/>
        </w:rPr>
        <w:t>大足</w:t>
      </w:r>
      <w:r>
        <w:rPr>
          <w:sz w:val="36"/>
          <w:szCs w:val="36"/>
          <w:rtl w:val="0"/>
          <w:lang w:val="en-US"/>
        </w:rPr>
        <w:t>, Sichuan.</w:t>
      </w:r>
      <w:r>
        <w:rPr>
          <w:sz w:val="36"/>
          <w:szCs w:val="36"/>
          <w:vertAlign w:val="superscript"/>
          <w:lang w:val="en-US"/>
        </w:rPr>
        <w:footnoteReference w:id="11"/>
      </w:r>
      <w:r>
        <w:rPr>
          <w:sz w:val="36"/>
          <w:szCs w:val="36"/>
          <w:rtl w:val="0"/>
          <w:lang w:val="en-US"/>
        </w:rPr>
        <w:t xml:space="preserve"> </w:t>
      </w:r>
    </w:p>
    <w:p>
      <w:pPr>
        <w:pStyle w:val="Normal.0"/>
      </w:pPr>
      <w:r>
        <w:rPr>
          <w:sz w:val="36"/>
          <w:szCs w:val="36"/>
          <w:shd w:val="clear" w:color="auto" w:fill="00ff00"/>
          <w:rtl w:val="0"/>
          <w:lang w:val="en-US"/>
        </w:rPr>
        <w:t>Several early epigraphers</w:t>
      </w:r>
      <w:r>
        <w:rPr>
          <w:sz w:val="36"/>
          <w:szCs w:val="36"/>
          <w:rtl w:val="0"/>
          <w:lang w:val="en-US"/>
        </w:rPr>
        <w:t xml:space="preserve"> surmised that the engraved text was not complete, and that there must have been more than one stone.</w:t>
      </w:r>
      <w:r>
        <w:rPr>
          <w:rFonts w:ascii="Calibri" w:cs="Calibri" w:hAnsi="Calibri" w:eastAsia="Calibri"/>
          <w:b w:val="0"/>
          <w:bCs w:val="0"/>
          <w:i w:val="0"/>
          <w:iCs w:val="0"/>
          <w:sz w:val="36"/>
          <w:szCs w:val="36"/>
          <w:vertAlign w:val="superscript"/>
        </w:rPr>
        <w:footnoteReference w:id="12"/>
      </w:r>
      <w:r>
        <w:rPr>
          <w:sz w:val="36"/>
          <w:szCs w:val="36"/>
          <w:rtl w:val="0"/>
          <w:lang w:val="en-US"/>
        </w:rPr>
        <w:t xml:space="preserve"> It seems, however, that the passage chosen for the stele stands for itself. </w:t>
      </w:r>
      <w:r>
        <w:rPr>
          <w:sz w:val="36"/>
          <w:szCs w:val="36"/>
          <w:shd w:val="clear" w:color="auto" w:fill="00ff00"/>
          <w:rtl w:val="0"/>
          <w:lang w:val="en-US"/>
        </w:rPr>
        <w:t>It conjures up a savage imagery of cosmic dimensions. As a</w:t>
      </w:r>
      <w:r>
        <w:rPr>
          <w:sz w:val="36"/>
          <w:szCs w:val="36"/>
          <w:rtl w:val="0"/>
          <w:lang w:val="en-US"/>
        </w:rPr>
        <w:t xml:space="preserve"> gruesome warning to those who break the </w:t>
      </w:r>
      <w:r>
        <w:rPr>
          <w:sz w:val="36"/>
          <w:szCs w:val="36"/>
          <w:shd w:val="clear" w:color="auto" w:fill="00ff00"/>
          <w:rtl w:val="0"/>
          <w:lang w:val="en-US"/>
        </w:rPr>
        <w:t>precepts</w:t>
      </w:r>
      <w:r>
        <w:rPr>
          <w:sz w:val="36"/>
          <w:szCs w:val="36"/>
          <w:rtl w:val="0"/>
          <w:lang w:val="en-US"/>
        </w:rPr>
        <w:t xml:space="preserve"> </w:t>
      </w:r>
      <w:r>
        <w:rPr>
          <w:sz w:val="36"/>
          <w:szCs w:val="36"/>
          <w:shd w:val="clear" w:color="auto" w:fill="00ff00"/>
          <w:rtl w:val="0"/>
          <w:lang w:val="en-US"/>
        </w:rPr>
        <w:t>of the fast, their punishments in hell are graphically evoced, such as</w:t>
      </w:r>
      <w:r>
        <w:rPr>
          <w:sz w:val="36"/>
          <w:szCs w:val="36"/>
          <w:rtl w:val="0"/>
          <w:lang w:val="en-US"/>
        </w:rPr>
        <w:t xml:space="preserve"> “</w:t>
      </w:r>
      <w:r>
        <w:rPr>
          <w:sz w:val="36"/>
          <w:szCs w:val="36"/>
          <w:rtl w:val="0"/>
          <w:lang w:val="en-US"/>
        </w:rPr>
        <w:t xml:space="preserve">the iron wheel, which passes through their left </w:t>
      </w:r>
      <w:r>
        <w:rPr>
          <w:sz w:val="36"/>
          <w:szCs w:val="36"/>
          <w:shd w:val="clear" w:color="auto" w:fill="00ff00"/>
          <w:rtl w:val="0"/>
          <w:lang w:val="en-US"/>
        </w:rPr>
        <w:t>side</w:t>
      </w:r>
      <w:r>
        <w:rPr>
          <w:sz w:val="36"/>
          <w:szCs w:val="36"/>
          <w:rtl w:val="0"/>
          <w:lang w:val="en-US"/>
        </w:rPr>
        <w:t xml:space="preserve"> and out their right</w:t>
      </w:r>
    </w:p>
    <w:sectPr>
      <w:headerReference w:type="default" r:id="rId7"/>
      <w:footerReference w:type="default" r:id="rId8"/>
      <w:pgSz w:w="11900" w:h="16840" w:orient="portrait"/>
      <w:pgMar w:top="1417" w:right="1417" w:bottom="1134" w:left="1417"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PMingLiU">
    <w:charset w:val="00"/>
    <w:family w:val="roman"/>
    <w:pitch w:val="default"/>
  </w:font>
  <w:font w:name="SimSun">
    <w:charset w:val="00"/>
    <w:family w:val="roman"/>
    <w:pitch w:val="default"/>
  </w:font>
  <w:font w:name="Verdana">
    <w:charset w:val="00"/>
    <w:family w:val="roman"/>
    <w:pitch w:val="default"/>
  </w:font>
  <w:font w:name="DengXi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footnote text"/>
        <w:ind w:firstLine="0"/>
      </w:pPr>
      <w:r>
        <w:rPr>
          <w:sz w:val="36"/>
          <w:szCs w:val="36"/>
          <w:vertAlign w:val="superscript"/>
          <w:lang w:val="en-US"/>
        </w:rPr>
        <w:footnoteRef/>
      </w:r>
      <w:r>
        <w:rPr>
          <w:rtl w:val="0"/>
          <w:lang w:val="en-US"/>
        </w:rPr>
        <w:t xml:space="preserve"> One each at </w:t>
      </w:r>
      <w:r>
        <w:rPr>
          <w:u w:val="single"/>
          <w:rtl w:val="0"/>
          <w:lang w:val="en-US"/>
        </w:rPr>
        <w:t>Shengguo, Shifo, and Haitang</w:t>
      </w:r>
      <w:r>
        <w:rPr>
          <w:rtl w:val="0"/>
          <w:lang w:val="en-US"/>
        </w:rPr>
        <w:t xml:space="preserve"> Monasteries, two at Jixiang Monastery.</w:t>
      </w:r>
    </w:p>
  </w:footnote>
  <w:footnote w:id="2">
    <w:p>
      <w:pPr>
        <w:pStyle w:val="footnote text"/>
        <w:ind w:firstLine="0"/>
      </w:pPr>
      <w:r>
        <w:rPr>
          <w:sz w:val="36"/>
          <w:szCs w:val="36"/>
          <w:vertAlign w:val="superscript"/>
          <w:lang w:val="en-US"/>
        </w:rPr>
        <w:footnoteRef/>
      </w:r>
      <w:r>
        <w:rPr>
          <w:rtl w:val="0"/>
          <w:lang w:val="en-US"/>
        </w:rPr>
        <w:t xml:space="preserve"> </w:t>
      </w:r>
      <w:r>
        <w:rPr>
          <w:smallCaps w:val="1"/>
          <w:rtl w:val="0"/>
          <w:lang w:val="en-US"/>
        </w:rPr>
        <w:t xml:space="preserve">Juye xianzhi 1582, </w:t>
      </w:r>
      <w:r>
        <w:rPr>
          <w:rtl w:val="0"/>
          <w:lang w:val="en-US"/>
        </w:rPr>
        <w:t>juan</w:t>
      </w:r>
      <w:r>
        <w:rPr>
          <w:smallCaps w:val="1"/>
          <w:rtl w:val="0"/>
          <w:lang w:val="en-US"/>
        </w:rPr>
        <w:t xml:space="preserve"> 8:303.  (</w:t>
      </w:r>
      <w:r>
        <w:rPr>
          <w:shd w:val="clear" w:color="auto" w:fill="ffff00"/>
          <w:rtl w:val="0"/>
          <w:lang w:val="en-US"/>
        </w:rPr>
        <w:t>Bib says</w:t>
      </w:r>
      <w:r>
        <w:rPr>
          <w:smallCaps w:val="1"/>
          <w:shd w:val="clear" w:color="auto" w:fill="ffff00"/>
          <w:rtl w:val="0"/>
          <w:lang w:val="en-US"/>
        </w:rPr>
        <w:t xml:space="preserve"> Juye xianzhi 1590, </w:t>
      </w:r>
      <w:r>
        <w:rPr>
          <w:shd w:val="clear" w:color="auto" w:fill="ffff00"/>
          <w:rtl w:val="0"/>
          <w:lang w:val="en-US"/>
        </w:rPr>
        <w:t>what is correct</w:t>
      </w:r>
      <w:r>
        <w:rPr>
          <w:smallCaps w:val="1"/>
          <w:shd w:val="clear" w:color="auto" w:fill="ffff00"/>
          <w:rtl w:val="0"/>
          <w:lang w:val="en-US"/>
        </w:rPr>
        <w:t>?</w:t>
      </w:r>
      <w:r>
        <w:rPr>
          <w:smallCaps w:val="1"/>
          <w:rtl w:val="0"/>
          <w:lang w:val="en-US"/>
        </w:rPr>
        <w:t>).</w:t>
      </w:r>
    </w:p>
  </w:footnote>
  <w:footnote w:id="3">
    <w:p>
      <w:pPr>
        <w:pStyle w:val="footnote text"/>
        <w:ind w:firstLine="0"/>
      </w:pPr>
      <w:r>
        <w:rPr>
          <w:sz w:val="36"/>
          <w:szCs w:val="36"/>
          <w:vertAlign w:val="superscript"/>
        </w:rPr>
        <w:footnoteRef/>
      </w:r>
      <w:r>
        <w:rPr>
          <w:rtl w:val="0"/>
          <w:lang w:val="en-US"/>
        </w:rPr>
        <w:t xml:space="preserve"> </w:t>
      </w:r>
      <w:r>
        <w:rPr>
          <w:rFonts w:ascii="Arial Unicode MS" w:cs="Arial Unicode MS" w:hAnsi="Arial Unicode MS" w:eastAsia="Arial Unicode MS" w:hint="eastAsia"/>
          <w:b w:val="0"/>
          <w:bCs w:val="0"/>
          <w:i w:val="0"/>
          <w:iCs w:val="0"/>
          <w:shd w:val="clear" w:color="auto" w:fill="ffff00"/>
          <w:rtl w:val="0"/>
          <w:lang w:val="zh-TW" w:eastAsia="zh-TW"/>
        </w:rPr>
        <w:t>鉅野縣志</w:t>
      </w:r>
      <w:r>
        <w:rPr>
          <w:shd w:val="clear" w:color="auto" w:fill="ffff00"/>
          <w:rtl w:val="0"/>
          <w:lang w:val="en-US"/>
        </w:rPr>
        <w:t>24</w:t>
      </w:r>
      <w:r>
        <w:rPr>
          <w:rFonts w:ascii="Arial Unicode MS" w:cs="Arial Unicode MS" w:hAnsi="Arial Unicode MS" w:eastAsia="Arial Unicode MS" w:hint="eastAsia"/>
          <w:b w:val="0"/>
          <w:bCs w:val="0"/>
          <w:i w:val="0"/>
          <w:iCs w:val="0"/>
          <w:shd w:val="clear" w:color="auto" w:fill="ffff00"/>
          <w:rtl w:val="0"/>
          <w:lang w:val="zh-TW" w:eastAsia="zh-TW"/>
        </w:rPr>
        <w:t>卷</w:t>
      </w:r>
      <w:r>
        <w:rPr>
          <w:smallCaps w:val="1"/>
          <w:rtl w:val="0"/>
          <w:lang w:val="en-US"/>
        </w:rPr>
        <w:t xml:space="preserve"> Juye xianzhi  1846,</w:t>
      </w:r>
      <w:r>
        <w:rPr>
          <w:rtl w:val="0"/>
          <w:lang w:val="en-US"/>
        </w:rPr>
        <w:t xml:space="preserve"> 21: 5b-6a.</w:t>
      </w:r>
    </w:p>
  </w:footnote>
  <w:footnote w:id="4">
    <w:p>
      <w:pPr>
        <w:pStyle w:val="footnote text"/>
        <w:ind w:firstLine="0"/>
      </w:pPr>
      <w:r>
        <w:rPr>
          <w:sz w:val="36"/>
          <w:szCs w:val="36"/>
          <w:vertAlign w:val="superscript"/>
          <w:lang w:val="en-US"/>
        </w:rPr>
        <w:footnoteRef/>
      </w:r>
      <w:r>
        <w:rPr>
          <w:rtl w:val="0"/>
          <w:lang w:val="en-US"/>
        </w:rPr>
        <w:t xml:space="preserve"> Lai Fei 2007, 162-16</w:t>
      </w:r>
      <w:r>
        <w:rPr>
          <w:u w:val="single"/>
          <w:rtl w:val="0"/>
          <w:lang w:val="en-US"/>
        </w:rPr>
        <w:t>5</w:t>
      </w:r>
      <w:r>
        <w:rPr>
          <w:rtl w:val="0"/>
          <w:lang w:val="en-US"/>
        </w:rPr>
        <w:t>.</w:t>
      </w:r>
    </w:p>
  </w:footnote>
  <w:footnote w:id="5">
    <w:p>
      <w:pPr>
        <w:pStyle w:val="footnote text"/>
        <w:ind w:firstLine="0"/>
      </w:pPr>
      <w:r>
        <w:rPr>
          <w:sz w:val="36"/>
          <w:szCs w:val="36"/>
          <w:vertAlign w:val="superscript"/>
          <w:lang w:val="en-US"/>
        </w:rPr>
        <w:footnoteRef/>
      </w:r>
      <w:r>
        <w:rPr>
          <w:rtl w:val="0"/>
          <w:lang w:val="en-US"/>
        </w:rPr>
        <w:t xml:space="preserve"> </w:t>
      </w:r>
      <w:r>
        <w:rPr>
          <w:smallCaps w:val="1"/>
          <w:rtl w:val="0"/>
          <w:lang w:val="en-US"/>
        </w:rPr>
        <w:t xml:space="preserve">Juye xianzhi  1846, </w:t>
      </w:r>
      <w:r>
        <w:rPr>
          <w:rFonts w:ascii="Arial" w:hAnsi="Arial"/>
          <w:rtl w:val="0"/>
          <w:lang w:val="en-US"/>
        </w:rPr>
        <w:t>20:3b</w:t>
      </w:r>
    </w:p>
  </w:footnote>
  <w:footnote w:id="6">
    <w:p>
      <w:pPr>
        <w:pStyle w:val="footnote text"/>
        <w:ind w:firstLine="0"/>
      </w:pPr>
      <w:r>
        <w:rPr>
          <w:sz w:val="36"/>
          <w:szCs w:val="36"/>
          <w:vertAlign w:val="superscript"/>
          <w:lang w:val="en-US"/>
        </w:rPr>
        <w:footnoteRef/>
      </w:r>
      <w:r>
        <w:rPr>
          <w:rtl w:val="0"/>
          <w:lang w:val="en-US"/>
        </w:rPr>
        <w:t xml:space="preserve"> SHANZUO BEIMU 14859a, see also Discussion.</w:t>
      </w:r>
    </w:p>
  </w:footnote>
  <w:footnote w:id="7">
    <w:p>
      <w:pPr>
        <w:pStyle w:val="footnote text"/>
        <w:ind w:firstLine="0"/>
      </w:pPr>
      <w:r>
        <w:rPr>
          <w:sz w:val="36"/>
          <w:szCs w:val="36"/>
          <w:vertAlign w:val="superscript"/>
          <w:lang w:val="en-US"/>
        </w:rPr>
        <w:footnoteRef/>
      </w:r>
      <w:r>
        <w:rPr>
          <w:rtl w:val="0"/>
          <w:lang w:val="en-US"/>
        </w:rPr>
        <w:t xml:space="preserve"> SHANZUO JINSHI ZHI, 14475b, see also Discussion.</w:t>
      </w:r>
    </w:p>
  </w:footnote>
  <w:footnote w:id="8">
    <w:p>
      <w:pPr>
        <w:pStyle w:val="footnote text"/>
        <w:ind w:firstLine="0"/>
      </w:pPr>
      <w:r>
        <w:rPr>
          <w:sz w:val="36"/>
          <w:szCs w:val="36"/>
          <w:vertAlign w:val="superscript"/>
          <w:lang w:val="en-US"/>
        </w:rPr>
        <w:footnoteRef/>
      </w:r>
      <w:r>
        <w:rPr>
          <w:rtl w:val="0"/>
          <w:lang w:val="en-US"/>
        </w:rPr>
        <w:t xml:space="preserve"> </w:t>
      </w:r>
      <w:r>
        <w:rPr>
          <w:smallCaps w:val="1"/>
          <w:rtl w:val="0"/>
          <w:lang w:val="en-US"/>
        </w:rPr>
        <w:t xml:space="preserve">Juye xianzhi  1846, </w:t>
      </w:r>
      <w:r>
        <w:rPr>
          <w:rFonts w:ascii="Arial" w:hAnsi="Arial"/>
          <w:rtl w:val="0"/>
          <w:lang w:val="en-US"/>
        </w:rPr>
        <w:t>20:3b</w:t>
      </w:r>
    </w:p>
  </w:footnote>
  <w:footnote w:id="9">
    <w:p>
      <w:pPr>
        <w:pStyle w:val="footnote text"/>
      </w:pPr>
      <w:r>
        <w:rPr>
          <w:sz w:val="36"/>
          <w:szCs w:val="36"/>
          <w:vertAlign w:val="superscript"/>
          <w:lang w:val="en-US"/>
        </w:rPr>
        <w:footnoteRef/>
      </w:r>
      <w:r>
        <w:rPr>
          <w:rtl w:val="0"/>
          <w:lang w:val="en-US"/>
        </w:rPr>
        <w:t xml:space="preserve"> See SHANDONG 2, 423 and 431, fig. 172.</w:t>
      </w:r>
    </w:p>
  </w:footnote>
  <w:footnote w:id="10">
    <w:p>
      <w:pPr>
        <w:pStyle w:val="Normal.0"/>
        <w:tabs>
          <w:tab w:val="left" w:pos="700"/>
        </w:tabs>
        <w:spacing w:after="0" w:line="241" w:lineRule="exact"/>
      </w:pPr>
      <w:r>
        <w:rPr>
          <w:sz w:val="36"/>
          <w:szCs w:val="36"/>
          <w:vertAlign w:val="superscript"/>
        </w:rPr>
        <w:footnoteRef/>
      </w:r>
      <w:r>
        <w:rPr>
          <w:sz w:val="20"/>
          <w:szCs w:val="20"/>
          <w:rtl w:val="0"/>
          <w:lang w:val="en-US"/>
        </w:rPr>
        <w:t xml:space="preserve">More versions among the Dunhuang manuscripts are: Bei </w:t>
      </w:r>
      <w:r>
        <w:rPr>
          <w:rFonts w:ascii="PMingLiU" w:cs="PMingLiU" w:hAnsi="PMingLiU" w:eastAsia="PMingLiU"/>
          <w:sz w:val="20"/>
          <w:szCs w:val="20"/>
          <w:rtl w:val="0"/>
          <w:lang w:val="zh-TW" w:eastAsia="zh-TW"/>
        </w:rPr>
        <w:t>北</w:t>
      </w:r>
      <w:r>
        <w:rPr>
          <w:sz w:val="20"/>
          <w:szCs w:val="20"/>
          <w:rtl w:val="0"/>
          <w:lang w:val="en-US"/>
        </w:rPr>
        <w:t xml:space="preserve"> 76</w:t>
      </w:r>
      <w:r>
        <w:rPr>
          <w:sz w:val="20"/>
          <w:szCs w:val="20"/>
          <w:rtl w:val="0"/>
          <w:lang w:val="en-US"/>
        </w:rPr>
        <w:t>–</w:t>
      </w:r>
      <w:r>
        <w:rPr>
          <w:sz w:val="20"/>
          <w:szCs w:val="20"/>
          <w:rtl w:val="0"/>
          <w:lang w:val="en-US"/>
        </w:rPr>
        <w:t xml:space="preserve">79, S 1320, S 5612v, S 6790, and ZW#13, 1: 367. </w:t>
      </w:r>
      <w:r>
        <w:rPr>
          <w:sz w:val="20"/>
          <w:szCs w:val="20"/>
          <w:shd w:val="clear" w:color="auto" w:fill="808080"/>
          <w:rtl w:val="0"/>
          <w:lang w:val="en-US"/>
        </w:rPr>
        <w:t>(mentioned in text note 27</w:t>
      </w:r>
      <w:r>
        <w:rPr>
          <w:sz w:val="20"/>
          <w:szCs w:val="20"/>
          <w:rtl w:val="0"/>
          <w:lang w:val="en-US"/>
        </w:rPr>
        <w:t>).</w:t>
      </w:r>
      <w:r>
        <w:rPr>
          <w:rtl w:val="0"/>
          <w:lang w:val="en-US"/>
        </w:rPr>
        <w:t xml:space="preserve"> </w:t>
      </w:r>
    </w:p>
  </w:footnote>
  <w:footnote w:id="11">
    <w:p>
      <w:pPr>
        <w:pStyle w:val="footnote text"/>
        <w:ind w:firstLine="0"/>
      </w:pPr>
      <w:r>
        <w:rPr>
          <w:sz w:val="36"/>
          <w:szCs w:val="36"/>
          <w:vertAlign w:val="superscript"/>
          <w:lang w:val="en-US"/>
        </w:rPr>
        <w:footnoteRef/>
      </w:r>
      <w:r>
        <w:rPr>
          <w:rtl w:val="0"/>
          <w:lang w:val="en-US"/>
        </w:rPr>
        <w:t xml:space="preserve"> ZHANG ZONG 2003, 5. See also Discussion.</w:t>
      </w:r>
    </w:p>
  </w:footnote>
  <w:footnote w:id="12">
    <w:p>
      <w:pPr>
        <w:pStyle w:val="footnote text"/>
        <w:ind w:firstLine="0"/>
      </w:pPr>
      <w:r>
        <w:rPr>
          <w:sz w:val="36"/>
          <w:szCs w:val="36"/>
          <w:vertAlign w:val="superscript"/>
          <w:lang w:val="en-US"/>
        </w:rPr>
        <w:footnoteRef/>
      </w:r>
      <w:r>
        <w:rPr>
          <w:rtl w:val="0"/>
          <w:lang w:val="en-US"/>
        </w:rPr>
        <w:t xml:space="preserve"> See Discussion.</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de-DE"/>
      <w14:textFill>
        <w14:solidFill>
          <w14:srgbClr w14:val="000000"/>
        </w14:solidFill>
      </w14:textFill>
    </w:rPr>
  </w:style>
  <w:style w:type="paragraph" w:styleId="Normal.0">
    <w:name w:val="Normal"/>
    <w:next w:val="Normal.0"/>
    <w:pPr>
      <w:keepNext w:val="0"/>
      <w:keepLines w:val="0"/>
      <w:pageBreakBefore w:val="0"/>
      <w:widowControl w:val="0"/>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footnote text">
    <w:name w:val="footnote text"/>
    <w:next w:val="footnote text"/>
    <w:pPr>
      <w:keepNext w:val="0"/>
      <w:keepLines w:val="0"/>
      <w:pageBreakBefore w:val="0"/>
      <w:widowControl w:val="1"/>
      <w:shd w:val="clear" w:color="auto" w:fill="auto"/>
      <w:suppressAutoHyphens w:val="0"/>
      <w:bidi w:val="0"/>
      <w:spacing w:before="0" w:after="0" w:line="240" w:lineRule="auto"/>
      <w:ind w:left="0" w:right="0" w:firstLine="709"/>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de-D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otnotes" Target="footnotes.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